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55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35D4B">
        <w:t>2</w:t>
      </w:r>
      <w:r>
        <w:t>.</w:t>
      </w:r>
      <w:proofErr w:type="gramEnd"/>
      <w:r>
        <w:t xml:space="preserve"> ГОДИНУ</w:t>
      </w:r>
    </w:p>
    <w:p w:rsidR="00E37BA2" w:rsidRPr="00E35D4B" w:rsidRDefault="00E37BA2" w:rsidP="00E37BA2">
      <w:pPr>
        <w:rPr>
          <w:b/>
        </w:rPr>
      </w:pPr>
    </w:p>
    <w:p w:rsidR="00E37BA2" w:rsidRPr="00E37BA2" w:rsidRDefault="00E37BA2" w:rsidP="00E37BA2">
      <w:pPr>
        <w:pStyle w:val="NoSpacing"/>
      </w:pP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21.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832487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lastRenderedPageBreak/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>Одлука о измени и допуни одлуке 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3F06CD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335D30" wp14:editId="438AE8CF">
            <wp:simplePos x="0" y="0"/>
            <wp:positionH relativeFrom="column">
              <wp:posOffset>504825</wp:posOffset>
            </wp:positionH>
            <wp:positionV relativeFrom="paragraph">
              <wp:posOffset>5080</wp:posOffset>
            </wp:positionV>
            <wp:extent cx="8601710" cy="664654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60C" w:rsidRPr="000D086D"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65560E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35196C">
        <w:t>2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35196C">
        <w:t>1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2.900.000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96,67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130.180.000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113.000.000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86,80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101,05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50,00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95,90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605.843.000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44,57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155,00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EA3EC5">
        <w:t xml:space="preserve">Процена финансијских показатеља за </w:t>
      </w:r>
      <w:r w:rsidR="008162A8">
        <w:t>2021</w:t>
      </w:r>
      <w:r w:rsidR="00DB6970" w:rsidRPr="00EA3EC5">
        <w:t>.</w:t>
      </w:r>
      <w:proofErr w:type="gramEnd"/>
      <w:r w:rsidRPr="00EA3EC5">
        <w:t xml:space="preserve"> </w:t>
      </w:r>
      <w:proofErr w:type="gramStart"/>
      <w:r w:rsidRPr="00EA3EC5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21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8162A8">
        <w:rPr>
          <w:b/>
        </w:rPr>
        <w:t>1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FE0FF2" w:rsidRPr="00FE0FF2">
        <w:t>1.040.200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FE0FF2" w:rsidRPr="00FE0FF2">
        <w:t>78</w:t>
      </w:r>
      <w:proofErr w:type="gramStart"/>
      <w:r w:rsidR="00FE0FF2" w:rsidRPr="00FE0FF2">
        <w:t>,23</w:t>
      </w:r>
      <w:proofErr w:type="gramEnd"/>
      <w:r w:rsidRPr="00FE0FF2">
        <w:t xml:space="preserve">%, а обртна са </w:t>
      </w:r>
      <w:r w:rsidR="00FE0FF2" w:rsidRPr="00FE0FF2">
        <w:t>21,77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9978BC" w:rsidRPr="00FE0FF2">
        <w:t>81</w:t>
      </w:r>
      <w:proofErr w:type="gramStart"/>
      <w:r w:rsidR="009978BC" w:rsidRPr="00FE0FF2">
        <w:t>,</w:t>
      </w:r>
      <w:r w:rsidR="00FE0FF2" w:rsidRPr="00FE0FF2">
        <w:t>25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FE0FF2" w:rsidRPr="00FE0FF2">
        <w:t>134.000</w:t>
      </w:r>
      <w:r w:rsidR="009978BC" w:rsidRPr="00FE0FF2">
        <w:t xml:space="preserve"> хиљада динара (</w:t>
      </w:r>
      <w:r w:rsidR="00FE0FF2" w:rsidRPr="00FE0FF2">
        <w:t>30.000</w:t>
      </w:r>
      <w:r w:rsidR="00EA3EC5" w:rsidRPr="00FE0FF2">
        <w:t xml:space="preserve"> дугорочне обавезе и резервисања, </w:t>
      </w:r>
      <w:r w:rsidR="00FE0FF2" w:rsidRPr="00FE0FF2">
        <w:t>98.000</w:t>
      </w:r>
      <w:r w:rsidR="00613971" w:rsidRPr="00FE0FF2">
        <w:t xml:space="preserve"> краткорочне обавезе, </w:t>
      </w:r>
      <w:r w:rsidR="00FE0FF2" w:rsidRPr="00FE0FF2">
        <w:t>6</w:t>
      </w:r>
      <w:r w:rsidR="009C4376" w:rsidRPr="00FE0FF2">
        <w:t xml:space="preserve">.000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21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8162A8">
        <w:rPr>
          <w:b/>
        </w:rPr>
        <w:t>1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8162A8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FE0FF2" w:rsidRPr="00FE0FF2">
        <w:t>18.250.000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8162A8">
        <w:t>1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Пословни расходи ће се остварити са </w:t>
      </w:r>
      <w:r w:rsidR="007B5884" w:rsidRPr="007B5884">
        <w:t>55</w:t>
      </w:r>
      <w:proofErr w:type="gramStart"/>
      <w:r w:rsidR="007B5884" w:rsidRPr="007B5884">
        <w:t>,92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7B5884" w:rsidRPr="007B5884">
        <w:t>37</w:t>
      </w:r>
      <w:proofErr w:type="gramStart"/>
      <w:r w:rsidR="007B5884" w:rsidRPr="007B5884">
        <w:t>,14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7B5884" w:rsidRPr="007B5884">
        <w:t>20</w:t>
      </w:r>
      <w:proofErr w:type="gramStart"/>
      <w:r w:rsidR="007B5884" w:rsidRPr="007B5884">
        <w:t>,00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7B5884">
        <w:t>28</w:t>
      </w:r>
      <w:proofErr w:type="gramStart"/>
      <w:r w:rsidR="007B5884">
        <w:t>,77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7B5884" w:rsidRPr="007B5884">
        <w:t>58</w:t>
      </w:r>
      <w:proofErr w:type="gramStart"/>
      <w:r w:rsidR="007B5884" w:rsidRPr="007B5884">
        <w:t>,32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D619EA"/>
    <w:p w:rsidR="00D619EA" w:rsidRDefault="00D619EA" w:rsidP="00D619EA"/>
    <w:p w:rsidR="00D619EA" w:rsidRDefault="00D619EA" w:rsidP="00D619EA"/>
    <w:p w:rsidR="009333C8" w:rsidRDefault="009333C8" w:rsidP="00D619EA">
      <w:proofErr w:type="gramStart"/>
      <w:r w:rsidRPr="0057084B"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8162A8">
        <w:t>2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8162A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6D649D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3.</w:t>
            </w:r>
            <w:r w:rsidR="003249C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4A39C9" w:rsidRDefault="004A39C9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122.000.000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423A1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  <w:r w:rsid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396.044.000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7F7C33" w:rsidRP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423A12">
        <w:t>9,47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133604" w:rsidRPr="00893461">
        <w:t>1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D9510F" w:rsidRDefault="0043107C" w:rsidP="00EC6CF0"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133604" w:rsidRDefault="006A22B2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133604" w:rsidRDefault="00D1685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16.278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133604" w:rsidRDefault="006A22B2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D16857" w:rsidRDefault="00D16857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13.555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</w:rPr>
      </w:pPr>
    </w:p>
    <w:p w:rsidR="00E6584A" w:rsidRDefault="00E6584A" w:rsidP="00E6584A">
      <w:pPr>
        <w:spacing w:before="240"/>
        <w:ind w:left="927" w:firstLine="0"/>
        <w:rPr>
          <w:b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DB45AE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DB45AE">
        <w:t xml:space="preserve">ПЛАНИРАНИ ФИНАНСИЈСКИ ПОКАЗАТЕЉИ ЗА </w:t>
      </w:r>
      <w:r w:rsidR="005050C2" w:rsidRPr="00DB45AE">
        <w:t>20</w:t>
      </w:r>
      <w:r w:rsidR="00133604">
        <w:t>22</w:t>
      </w:r>
      <w:r w:rsidRPr="00DB45AE">
        <w:t>.</w:t>
      </w:r>
      <w:proofErr w:type="gramEnd"/>
      <w:r w:rsidRPr="00DB45AE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57084B" w:rsidRPr="003C5603">
        <w:t>1.</w:t>
      </w:r>
      <w:r w:rsidR="003C5603" w:rsidRPr="003C5603">
        <w:t>043</w:t>
      </w:r>
      <w:r w:rsidR="0057084B" w:rsidRPr="003C5603">
        <w:t>.</w:t>
      </w:r>
      <w:r w:rsidR="003C5603" w:rsidRPr="003C5603">
        <w:t xml:space="preserve">200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3C5603" w:rsidRPr="003C5603">
        <w:t>77</w:t>
      </w:r>
      <w:proofErr w:type="gramStart"/>
      <w:r w:rsidR="003C5603" w:rsidRPr="003C5603">
        <w:t>,74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3C5603" w:rsidRPr="003C5603">
        <w:t>22,26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3C5603" w:rsidRPr="003C5603">
        <w:t>81</w:t>
      </w:r>
      <w:proofErr w:type="gramStart"/>
      <w:r w:rsidR="003C5603" w:rsidRPr="003C5603">
        <w:t>,12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133604">
        <w:t>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8009C9" w:rsidRPr="003C5603">
        <w:t>4.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</w:t>
      </w:r>
      <w:proofErr w:type="gramStart"/>
      <w:r w:rsidRPr="00893461">
        <w:t>годину</w:t>
      </w:r>
      <w:proofErr w:type="gramEnd"/>
      <w:r w:rsidRPr="00893461">
        <w:t xml:space="preserve"> плани</w:t>
      </w:r>
      <w:r w:rsidR="007644A4" w:rsidRPr="00893461">
        <w:t>рају се укупни приходи</w:t>
      </w:r>
      <w:r w:rsidR="00893461" w:rsidRPr="00893461">
        <w:t xml:space="preserve"> мањи</w:t>
      </w:r>
      <w:r w:rsidR="007644A4" w:rsidRPr="00893461">
        <w:t xml:space="preserve">  за </w:t>
      </w:r>
      <w:r w:rsidR="00893461" w:rsidRPr="00893461">
        <w:t>23,67</w:t>
      </w:r>
      <w:r w:rsidRPr="00893461">
        <w:t xml:space="preserve">% у односу на планиране приходе за </w:t>
      </w:r>
      <w:r w:rsidR="005050C2" w:rsidRPr="00893461">
        <w:t>20</w:t>
      </w:r>
      <w:r w:rsidR="00133604" w:rsidRPr="00893461">
        <w:t>21</w:t>
      </w:r>
      <w:r w:rsidRPr="00893461">
        <w:t xml:space="preserve">. </w:t>
      </w:r>
      <w:proofErr w:type="gramStart"/>
      <w:r w:rsidRPr="00893461">
        <w:t>годину</w:t>
      </w:r>
      <w:proofErr w:type="gramEnd"/>
      <w:r w:rsidRPr="00893461">
        <w:t xml:space="preserve">, а у односу на процену су повећани за </w:t>
      </w:r>
      <w:r w:rsidR="00893461" w:rsidRPr="00893461">
        <w:t>30,87</w:t>
      </w:r>
      <w:r w:rsidR="00871817" w:rsidRPr="00893461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31,24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893461" w:rsidRPr="00893461">
        <w:t>31</w:t>
      </w:r>
      <w:proofErr w:type="gramStart"/>
      <w:r w:rsidR="00893461" w:rsidRPr="00893461">
        <w:t>,43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133604" w:rsidRPr="00893461">
        <w:t>2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осим грађевинских радова на хидрограђевиснким објектима који се сваке године обављају, </w:t>
      </w:r>
      <w:r w:rsidR="008009C9" w:rsidRPr="00893461">
        <w:t xml:space="preserve"> планирано извођење радова на  доградњи и реконструкцији постр</w:t>
      </w:r>
      <w:r w:rsidR="00C44E6E">
        <w:t xml:space="preserve">ојења за прераду воде у Рибници, који су започети у 2021. </w:t>
      </w:r>
      <w:proofErr w:type="gramStart"/>
      <w:r w:rsidR="00C44E6E">
        <w:t>години</w:t>
      </w:r>
      <w:proofErr w:type="gramEnd"/>
      <w:r w:rsidR="00C44E6E">
        <w:t>.</w:t>
      </w:r>
    </w:p>
    <w:p w:rsidR="007644A4" w:rsidRPr="00893461" w:rsidRDefault="007644A4" w:rsidP="002E25D8"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5"/>
        <w:gridCol w:w="952"/>
        <w:gridCol w:w="25"/>
        <w:gridCol w:w="1217"/>
        <w:gridCol w:w="1251"/>
        <w:gridCol w:w="1251"/>
        <w:gridCol w:w="1069"/>
        <w:gridCol w:w="1069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021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E749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CE424A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33604" w:rsidRDefault="008666D3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105,26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7659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86,95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34.280.000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62646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109,09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109,09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62646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108,57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1021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605.843.000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CE424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270.000.000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6774E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  <w:r w:rsidR="00893461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.044.000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44,56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423E96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1021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1021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13D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F43B4C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90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109,59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117,65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117,65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666D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112D1F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21" w:type="dxa"/>
            <w:gridSpan w:val="2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872.223.000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912F45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508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93461" w:rsidRDefault="00893461" w:rsidP="00893461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665.744.000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58,</w:t>
            </w:r>
            <w:r w:rsidR="00912F45">
              <w:rPr>
                <w:rFonts w:eastAsia="Times New Roman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893461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130,87</w:t>
            </w:r>
          </w:p>
        </w:tc>
      </w:tr>
    </w:tbl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93461">
        <w:t>На страни р</w:t>
      </w:r>
      <w:r w:rsidR="007644A4" w:rsidRPr="00893461">
        <w:t xml:space="preserve">асхода планира се </w:t>
      </w:r>
      <w:r w:rsidR="00893461" w:rsidRPr="00893461">
        <w:t>смањење</w:t>
      </w:r>
      <w:r w:rsidR="007644A4" w:rsidRPr="00893461">
        <w:t xml:space="preserve"> од </w:t>
      </w:r>
      <w:r w:rsidR="00893461" w:rsidRPr="00893461">
        <w:t>23</w:t>
      </w:r>
      <w:proofErr w:type="gramStart"/>
      <w:r w:rsidR="00893461" w:rsidRPr="00893461">
        <w:t>,70</w:t>
      </w:r>
      <w:proofErr w:type="gramEnd"/>
      <w:r w:rsidRPr="00893461">
        <w:t xml:space="preserve">% у односу на план за </w:t>
      </w:r>
      <w:r w:rsidR="005050C2" w:rsidRPr="00893461">
        <w:t>20</w:t>
      </w:r>
      <w:r w:rsidR="00893461" w:rsidRPr="00893461">
        <w:t>2</w:t>
      </w:r>
      <w:r w:rsidR="00932876" w:rsidRPr="00893461">
        <w:t>1</w:t>
      </w:r>
      <w:r w:rsidRPr="00893461">
        <w:t xml:space="preserve">. </w:t>
      </w:r>
      <w:proofErr w:type="gramStart"/>
      <w:r w:rsidR="00893461">
        <w:t>годину</w:t>
      </w:r>
      <w:proofErr w:type="gramEnd"/>
      <w:r w:rsidR="00893461">
        <w:t>, а у односу на процену повећање од 34,93%.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300.108.000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A02D60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179.500.000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105,59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2E316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93E05" w:rsidRDefault="00CC5254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5.710.000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C5254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124,44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5172" w:rsidRDefault="00E6517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E651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204,55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C5254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18.010.000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180,10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133,79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16.485.000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134,13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8666D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0C0FDC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77,77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128,57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E618E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502C6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A02D60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456F40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214,29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198,00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155,56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4B10D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189,00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D5205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0F5BB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A02D60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16.330.000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233,29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59.4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0F5BB3" w:rsidP="000F5BB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87.640.000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7B58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147,54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171,43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31B09" w:rsidP="00BC246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93461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E73C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4B10D6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141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14271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9D06B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86139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8D43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0C0FDC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6774E1" w:rsidRDefault="006774E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37,61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F31467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315,29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867.323.000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2B6009" w:rsidP="009F650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9F650D">
              <w:rPr>
                <w:rFonts w:eastAsia="Times New Roman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0.450.000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C45FD" w:rsidRDefault="006774E1" w:rsidP="008666D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661.744.000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9F650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134,93</w:t>
            </w:r>
          </w:p>
        </w:tc>
      </w:tr>
    </w:tbl>
    <w:p w:rsidR="004B4404" w:rsidRPr="0057084B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7084B">
        <w:t>Извештај о токовима готовине</w:t>
      </w:r>
    </w:p>
    <w:p w:rsidR="00D07D2D" w:rsidRPr="003C5603" w:rsidRDefault="00817620" w:rsidP="00D07D2D">
      <w:r w:rsidRPr="003C5603">
        <w:t>ЈКП „Водовод Златибор</w:t>
      </w:r>
      <w:proofErr w:type="gramStart"/>
      <w:r w:rsidRPr="003C5603">
        <w:t>“ се</w:t>
      </w:r>
      <w:proofErr w:type="gramEnd"/>
      <w:r w:rsidRPr="003C5603">
        <w:t xml:space="preserve"> за редовну пословну активност финансира из средстава од основне делатности и услуга</w:t>
      </w:r>
      <w:r w:rsidR="00D07D2D" w:rsidRPr="003C5603">
        <w:t>.</w:t>
      </w:r>
    </w:p>
    <w:p w:rsidR="00C20609" w:rsidRPr="003C5603" w:rsidRDefault="00C20609" w:rsidP="00D07D2D">
      <w:proofErr w:type="gramStart"/>
      <w:r w:rsidRPr="003C5603">
        <w:lastRenderedPageBreak/>
        <w:t xml:space="preserve">За </w:t>
      </w:r>
      <w:r w:rsidR="005050C2" w:rsidRPr="003C5603">
        <w:t>20</w:t>
      </w:r>
      <w:r w:rsidR="00F62A47" w:rsidRPr="003C5603">
        <w:t>2</w:t>
      </w:r>
      <w:r w:rsidR="008F66EE" w:rsidRPr="003C5603">
        <w:t>2</w:t>
      </w:r>
      <w:r w:rsidRPr="003C5603">
        <w:t>.</w:t>
      </w:r>
      <w:proofErr w:type="gramEnd"/>
      <w:r w:rsidRPr="003C5603">
        <w:t xml:space="preserve"> годину планира се укупан прилив готовине у износу од </w:t>
      </w:r>
      <w:r w:rsidR="003C5603" w:rsidRPr="003C5603">
        <w:t>730.400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Pr="003C5603">
        <w:t>динара</w:t>
      </w:r>
      <w:r w:rsidR="002523D7" w:rsidRPr="003C5603">
        <w:t xml:space="preserve"> што са</w:t>
      </w:r>
      <w:r w:rsidR="00AA78A3" w:rsidRPr="003C5603">
        <w:t xml:space="preserve"> очекиваном </w:t>
      </w:r>
      <w:r w:rsidR="002523D7" w:rsidRPr="003C5603">
        <w:t xml:space="preserve"> готовином са почетка обрачунског периода износи </w:t>
      </w:r>
      <w:r w:rsidR="003C5603" w:rsidRPr="003C5603">
        <w:t>795.400</w:t>
      </w:r>
      <w:r w:rsidR="0008255F">
        <w:rPr>
          <w:lang w:val="sr-Cyrl-RS"/>
        </w:rPr>
        <w:t>,00</w:t>
      </w:r>
      <w:r w:rsidR="003C5603" w:rsidRPr="003C5603">
        <w:t xml:space="preserve"> </w:t>
      </w:r>
      <w:r w:rsidR="002523D7" w:rsidRPr="003C5603">
        <w:t>динара,а</w:t>
      </w:r>
      <w:r w:rsidRPr="003C5603">
        <w:t xml:space="preserve"> укупан одлив у износу од </w:t>
      </w:r>
      <w:r w:rsidR="003C5603" w:rsidRPr="003C5603">
        <w:t>725.400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="002523D7" w:rsidRPr="003C5603">
        <w:t xml:space="preserve">динара. </w:t>
      </w:r>
    </w:p>
    <w:p w:rsidR="00C20609" w:rsidRPr="003C5603" w:rsidRDefault="00C20609" w:rsidP="002E25D8">
      <w:proofErr w:type="gramStart"/>
      <w:r w:rsidRPr="003C5603">
        <w:t xml:space="preserve">Месечне обавезе, само за радну снагу и електричну енергију, у просеку износе око </w:t>
      </w:r>
      <w:r w:rsidR="002523D7" w:rsidRPr="003C5603">
        <w:t>1</w:t>
      </w:r>
      <w:r w:rsidR="003C5603" w:rsidRPr="003C5603">
        <w:t>2</w:t>
      </w:r>
      <w:r w:rsidRPr="003C5603">
        <w:t xml:space="preserve"> милиона динара.</w:t>
      </w:r>
      <w:proofErr w:type="gramEnd"/>
    </w:p>
    <w:p w:rsidR="007644A4" w:rsidRDefault="007644A4" w:rsidP="002E25D8">
      <w:proofErr w:type="gramStart"/>
      <w:r w:rsidRPr="003C5603">
        <w:t xml:space="preserve">Стање на рачуну на крају пословне </w:t>
      </w:r>
      <w:r w:rsidR="00811DFA" w:rsidRPr="003C5603">
        <w:t>20</w:t>
      </w:r>
      <w:r w:rsidR="00F62A47" w:rsidRPr="003C5603">
        <w:t>2</w:t>
      </w:r>
      <w:r w:rsidR="008F66EE" w:rsidRPr="003C5603">
        <w:t>2</w:t>
      </w:r>
      <w:r w:rsidRPr="003C5603">
        <w:rPr>
          <w:color w:val="C00000"/>
        </w:rPr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планира се у износу од </w:t>
      </w:r>
      <w:r w:rsidR="003C5603" w:rsidRPr="003C5603">
        <w:t xml:space="preserve">70.000.000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2021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08255F">
        <w:rPr>
          <w:lang w:val="sr-Cyrl-RS"/>
        </w:rPr>
        <w:t>8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F66EE" w:rsidRPr="009F650D">
        <w:t>2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0A7D0A" w:rsidRPr="009F650D">
        <w:t>8</w:t>
      </w:r>
      <w:r w:rsidR="0008255F">
        <w:rPr>
          <w:lang w:val="sr-Cyrl-RS"/>
        </w:rPr>
        <w:t xml:space="preserve">9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2022.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одлазак једног радника и пријем два нова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Pr="008666D3">
        <w:t>500.000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8F66EE">
        <w:t>1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8F66EE">
        <w:t>2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971E6A" w:rsidRPr="00971E6A">
        <w:t>86.700.000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8F66EE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21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8F66EE" w:rsidRPr="00971E6A">
        <w:t>2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8F66EE" w:rsidRPr="00971E6A">
        <w:t>2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971E6A" w:rsidRPr="00971E6A">
        <w:t>116</w:t>
      </w:r>
      <w:r w:rsidR="000952E3" w:rsidRPr="00971E6A">
        <w:t>.000.000</w:t>
      </w:r>
      <w:r w:rsidR="008F4EB5" w:rsidRPr="00971E6A">
        <w:t xml:space="preserve"> динара; </w:t>
      </w:r>
      <w:r w:rsidRPr="00971E6A">
        <w:t xml:space="preserve"> бруто</w:t>
      </w:r>
      <w:r w:rsidR="00E11D2F" w:rsidRPr="00971E6A">
        <w:t>II</w:t>
      </w:r>
      <w:r w:rsidR="00971E6A" w:rsidRPr="00971E6A">
        <w:t>135.314</w:t>
      </w:r>
      <w:r w:rsidR="000952E3" w:rsidRPr="00971E6A">
        <w:t>.000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AA617F" w:rsidRPr="002A7B01" w:rsidRDefault="006F32DF" w:rsidP="002A7B01">
      <w:proofErr w:type="gramStart"/>
      <w:r w:rsidRPr="00F75FCF">
        <w:t xml:space="preserve">За покриће инвестиција из сопствених средстава за </w:t>
      </w:r>
      <w:r w:rsidR="008F66EE" w:rsidRPr="00F75FCF">
        <w:t>2022</w:t>
      </w:r>
      <w:r w:rsidR="006F00D2" w:rsidRPr="00F75FCF">
        <w:t>.</w:t>
      </w:r>
      <w:r w:rsidR="00DC48F7" w:rsidRPr="00F75FCF">
        <w:t>г</w:t>
      </w:r>
      <w:r w:rsidRPr="00F75FCF">
        <w:t xml:space="preserve">одину расподелом очекиваног наплаћеног прихода преостаје </w:t>
      </w:r>
      <w:r w:rsidR="00F75FCF">
        <w:t>17.</w:t>
      </w:r>
      <w:r w:rsidR="00DB3A50">
        <w:t>7</w:t>
      </w:r>
      <w:r w:rsidR="00F75FCF">
        <w:t>80.000</w:t>
      </w:r>
      <w:r w:rsidRPr="00F75FCF">
        <w:t xml:space="preserve"> динара</w:t>
      </w:r>
      <w:r w:rsidR="00FC16F5" w:rsidRPr="00F75FCF">
        <w:t>.</w:t>
      </w:r>
      <w:proofErr w:type="gramEnd"/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8" w:name="_Toc378060224"/>
      <w:bookmarkStart w:id="9" w:name="_GoBack"/>
      <w:bookmarkEnd w:id="9"/>
      <w:r>
        <w:t>ЗАДУЖЕНОСТ</w:t>
      </w:r>
      <w:bookmarkEnd w:id="8"/>
    </w:p>
    <w:p w:rsidR="00236397" w:rsidRDefault="006F32DF" w:rsidP="00236397"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</w:t>
      </w:r>
      <w:r w:rsidR="00F6704C">
        <w:lastRenderedPageBreak/>
        <w:t>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E51BFC" w:rsidRDefault="00E51BFC" w:rsidP="00E51BFC">
      <w:pPr>
        <w:ind w:firstLine="0"/>
      </w:pP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на дан 31.12.20</w:t>
      </w:r>
      <w:r w:rsidR="00261DF1" w:rsidRPr="008B0FF4">
        <w:rPr>
          <w:rFonts w:cs="Arial"/>
        </w:rPr>
        <w:t>2</w:t>
      </w:r>
      <w:r w:rsidR="00BF0374" w:rsidRPr="008B0FF4">
        <w:rPr>
          <w:rFonts w:cs="Arial"/>
        </w:rPr>
        <w:t>1</w:t>
      </w:r>
      <w:r w:rsidR="001838B2" w:rsidRPr="008B0FF4">
        <w:rPr>
          <w:rFonts w:cs="Arial"/>
        </w:rPr>
        <w:t xml:space="preserve">.г. </w:t>
      </w:r>
      <w:r w:rsidR="00A7033D" w:rsidRPr="008B0FF4">
        <w:rPr>
          <w:rFonts w:cs="Arial"/>
        </w:rPr>
        <w:t>износе</w:t>
      </w:r>
      <w:r w:rsidR="00BF0374" w:rsidRPr="008B0FF4">
        <w:rPr>
          <w:rFonts w:cs="Arial"/>
        </w:rPr>
        <w:t xml:space="preserve">38.998 евра,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BF0374" w:rsidRPr="008B0FF4">
        <w:rPr>
          <w:rFonts w:cs="Arial"/>
        </w:rPr>
        <w:t>40.127</w:t>
      </w:r>
      <w:r w:rsidR="003304EB" w:rsidRPr="008B0FF4">
        <w:rPr>
          <w:rFonts w:cs="Arial"/>
        </w:rPr>
        <w:t xml:space="preserve"> 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197.720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8B0FF4" w:rsidRPr="008B0FF4">
        <w:rPr>
          <w:rFonts w:cs="Arial"/>
        </w:rPr>
        <w:t>276.845</w:t>
      </w:r>
      <w:r w:rsidR="003304EB" w:rsidRPr="008B0FF4">
        <w:rPr>
          <w:rFonts w:cs="Arial"/>
        </w:rPr>
        <w:t xml:space="preserve"> евра.</w:t>
      </w:r>
    </w:p>
    <w:p w:rsidR="00DA1AD8" w:rsidRPr="008B0FF4" w:rsidRDefault="00DA1AD8" w:rsidP="004C7340">
      <w:pPr>
        <w:ind w:firstLine="0"/>
        <w:rPr>
          <w:rFonts w:cs="Arial"/>
        </w:rPr>
      </w:pPr>
    </w:p>
    <w:p w:rsidR="00B23E9C" w:rsidRPr="003C5603" w:rsidRDefault="00B23E9C" w:rsidP="003304EB">
      <w:pPr>
        <w:rPr>
          <w:b/>
        </w:rPr>
      </w:pPr>
      <w:r w:rsidRPr="003C5603">
        <w:rPr>
          <w:b/>
        </w:rPr>
        <w:t>Неизмирена дуговања и ненаплаћена потраживања</w:t>
      </w:r>
    </w:p>
    <w:p w:rsidR="00BB4F83" w:rsidRPr="003C5603" w:rsidRDefault="00B23E9C" w:rsidP="006F32DF">
      <w:proofErr w:type="gramStart"/>
      <w:r w:rsidRPr="003C5603">
        <w:t>На дан 31.12.</w:t>
      </w:r>
      <w:r w:rsidR="005050C2" w:rsidRPr="003C5603">
        <w:t>20</w:t>
      </w:r>
      <w:r w:rsidR="00A14180" w:rsidRPr="003C5603">
        <w:t>21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CE0AE4" w:rsidRPr="003C5603">
        <w:t xml:space="preserve"> краткорочних</w:t>
      </w:r>
      <w:r w:rsidRPr="003C5603">
        <w:t xml:space="preserve"> обавеза се процењује на </w:t>
      </w:r>
      <w:r w:rsidR="003C5603" w:rsidRPr="003C5603">
        <w:t>98.000.000</w:t>
      </w:r>
      <w:r w:rsidR="00BB4F83" w:rsidRPr="003C5603">
        <w:t xml:space="preserve"> динара, а </w:t>
      </w:r>
      <w:r w:rsidR="004B2A3A" w:rsidRPr="003C5603">
        <w:t xml:space="preserve">обртна имовина на </w:t>
      </w:r>
      <w:r w:rsidR="003C5603" w:rsidRPr="003C5603">
        <w:t>226.500.000</w:t>
      </w:r>
      <w:r w:rsidR="00BB4F83" w:rsidRPr="003C5603">
        <w:t xml:space="preserve"> динара.</w:t>
      </w:r>
    </w:p>
    <w:p w:rsidR="00B23E9C" w:rsidRPr="006F32DF" w:rsidRDefault="00B23E9C" w:rsidP="006F32DF">
      <w:proofErr w:type="gramStart"/>
      <w:r w:rsidRPr="003C5603">
        <w:t xml:space="preserve">Процењује се да ће на крају </w:t>
      </w:r>
      <w:r w:rsidR="00A14180" w:rsidRPr="003C5603">
        <w:t>2022</w:t>
      </w:r>
      <w:r w:rsidR="00A01811"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2821BE" w:rsidRPr="003C5603">
        <w:t xml:space="preserve"> краткорочних </w:t>
      </w:r>
      <w:r w:rsidRPr="003C5603">
        <w:t xml:space="preserve"> обавеза бити </w:t>
      </w:r>
      <w:r w:rsidR="003C5603" w:rsidRPr="003C5603">
        <w:t xml:space="preserve">101.000.000 </w:t>
      </w:r>
      <w:r w:rsidRPr="003C5603">
        <w:t>динара</w:t>
      </w:r>
      <w:r w:rsidR="004C7340" w:rsidRPr="003C5603">
        <w:t>,</w:t>
      </w:r>
      <w:r w:rsidRPr="003C5603">
        <w:t xml:space="preserve"> а </w:t>
      </w:r>
      <w:r w:rsidR="002821BE" w:rsidRPr="003C5603">
        <w:t xml:space="preserve">обртна имовина се процењује на износ од  </w:t>
      </w:r>
      <w:r w:rsidR="003C5603" w:rsidRPr="003C5603">
        <w:t xml:space="preserve">232.000.000 </w:t>
      </w:r>
      <w:r w:rsidRPr="003C5603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A14180">
        <w:t>2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proofErr w:type="gramStart"/>
      <w:r w:rsidRPr="00873580">
        <w:t xml:space="preserve">За </w:t>
      </w:r>
      <w:r w:rsidR="005050C2" w:rsidRPr="00873580">
        <w:t>20</w:t>
      </w:r>
      <w:r w:rsidR="003304EB" w:rsidRPr="00873580">
        <w:t>2</w:t>
      </w:r>
      <w:r w:rsidR="00A14180" w:rsidRPr="00873580">
        <w:t>2</w:t>
      </w:r>
      <w:r w:rsidRPr="00873580">
        <w:t>.</w:t>
      </w:r>
      <w:proofErr w:type="gramEnd"/>
      <w:r w:rsidRPr="00873580">
        <w:t xml:space="preserve"> годину планира</w:t>
      </w:r>
      <w:r w:rsidR="00632C5F" w:rsidRPr="00873580">
        <w:t xml:space="preserve">ју се средства за </w:t>
      </w:r>
      <w:r w:rsidRPr="00873580">
        <w:t xml:space="preserve"> набавк</w:t>
      </w:r>
      <w:r w:rsidR="00632C5F" w:rsidRPr="00873580">
        <w:t>у</w:t>
      </w:r>
      <w:r w:rsidRPr="00873580">
        <w:t xml:space="preserve"> добара, услуга и радова у износу од</w:t>
      </w:r>
      <w:r w:rsidR="003C5603" w:rsidRPr="00873580">
        <w:t xml:space="preserve"> </w:t>
      </w:r>
      <w:r w:rsidR="00873580" w:rsidRPr="00873580">
        <w:t>478</w:t>
      </w:r>
      <w:r w:rsidR="00B4742D" w:rsidRPr="00873580">
        <w:t>.</w:t>
      </w:r>
      <w:r w:rsidR="00873580" w:rsidRPr="00873580">
        <w:t>847.0</w:t>
      </w:r>
      <w:r w:rsidR="00B4742D" w:rsidRPr="00873580">
        <w:t>00</w:t>
      </w:r>
      <w:r w:rsidR="00873580" w:rsidRPr="00873580">
        <w:t xml:space="preserve"> </w:t>
      </w:r>
      <w:r w:rsidRPr="00873580">
        <w:t xml:space="preserve">динара, од чега се на добра односи </w:t>
      </w:r>
      <w:r w:rsidR="00873580" w:rsidRPr="00873580">
        <w:t>295</w:t>
      </w:r>
      <w:r w:rsidR="00B4742D" w:rsidRPr="00873580">
        <w:t>.</w:t>
      </w:r>
      <w:r w:rsidR="00873580" w:rsidRPr="00873580">
        <w:t>787</w:t>
      </w:r>
      <w:r w:rsidR="00B4742D" w:rsidRPr="00873580">
        <w:t>.</w:t>
      </w:r>
      <w:r w:rsidR="00873580" w:rsidRPr="00873580">
        <w:t>0</w:t>
      </w:r>
      <w:r w:rsidR="00B4742D" w:rsidRPr="00873580">
        <w:t>00</w:t>
      </w:r>
      <w:r w:rsidRPr="00873580">
        <w:t>динара, на услуге</w:t>
      </w:r>
      <w:r w:rsidR="003C5603" w:rsidRPr="00873580">
        <w:t xml:space="preserve"> </w:t>
      </w:r>
      <w:r w:rsidR="00B4742D" w:rsidRPr="00873580">
        <w:t>8</w:t>
      </w:r>
      <w:r w:rsidR="00873580" w:rsidRPr="00873580">
        <w:t>9.3</w:t>
      </w:r>
      <w:r w:rsidR="00B4742D" w:rsidRPr="00873580">
        <w:t>20.000</w:t>
      </w:r>
      <w:r w:rsidRPr="00873580">
        <w:t>динара и на радове</w:t>
      </w:r>
      <w:r w:rsidR="003C5603" w:rsidRPr="00873580">
        <w:t xml:space="preserve"> </w:t>
      </w:r>
      <w:r w:rsidR="00873580" w:rsidRPr="00873580">
        <w:t>93</w:t>
      </w:r>
      <w:r w:rsidR="00B4742D" w:rsidRPr="00873580">
        <w:t>.</w:t>
      </w:r>
      <w:r w:rsidR="00873580" w:rsidRPr="00873580">
        <w:t>740</w:t>
      </w:r>
      <w:r w:rsidR="00B4742D" w:rsidRPr="00873580">
        <w:t>.000</w:t>
      </w:r>
      <w:r w:rsidR="003C5603" w:rsidRPr="00873580">
        <w:t xml:space="preserve"> </w:t>
      </w:r>
      <w:r w:rsidRPr="00873580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lastRenderedPageBreak/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04517" w:rsidRDefault="00204517" w:rsidP="004C7340">
      <w:proofErr w:type="gramStart"/>
      <w:r>
        <w:t xml:space="preserve">У </w:t>
      </w:r>
      <w:r w:rsidR="00A14180">
        <w:t>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извршено је повећање цена воде и накнаде за одвођење отпадних вода /канализације/ за 10%.  </w:t>
      </w:r>
      <w:proofErr w:type="gramStart"/>
      <w:r>
        <w:t>Повећање је извршено само за категорију домаћинстава и приме</w:t>
      </w:r>
      <w:r w:rsidR="00A01811">
        <w:t>њује се почев од месеца октобра 2020.</w:t>
      </w:r>
      <w:proofErr w:type="gramEnd"/>
      <w:r w:rsidR="00A01811">
        <w:t xml:space="preserve"> </w:t>
      </w:r>
      <w:proofErr w:type="gramStart"/>
      <w:r w:rsidR="00617534">
        <w:t>г</w:t>
      </w:r>
      <w:r w:rsidR="004C7340">
        <w:t>одине</w:t>
      </w:r>
      <w:proofErr w:type="gramEnd"/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714D2E" w:rsidRDefault="00593481" w:rsidP="00714D2E"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F11758" w:rsidRPr="008E5E1F" w:rsidRDefault="00F11758" w:rsidP="008E5E1F">
      <w:pPr>
        <w:ind w:firstLine="0"/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20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0226A0">
        <w:t>2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lastRenderedPageBreak/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Pr="00355DF6" w:rsidRDefault="00CD43A0" w:rsidP="00355DF6">
      <w:pPr>
        <w:tabs>
          <w:tab w:val="left" w:pos="993"/>
        </w:tabs>
        <w:ind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87" w:rsidRDefault="00832487" w:rsidP="00714AC6">
      <w:r>
        <w:separator/>
      </w:r>
    </w:p>
  </w:endnote>
  <w:endnote w:type="continuationSeparator" w:id="0">
    <w:p w:rsidR="00832487" w:rsidRDefault="00832487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6CD" w:rsidRDefault="003F0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6CD" w:rsidRDefault="003F0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CD" w:rsidRPr="005E1341" w:rsidRDefault="003F06CD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3F06CD" w:rsidRPr="005E1341" w:rsidRDefault="003F06CD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>ајетина, 15.12.202</w:t>
    </w:r>
    <w:r>
      <w:rPr>
        <w:rStyle w:val="SubtleEmphasis"/>
        <w:lang w:val="sr-Cyrl-RS"/>
      </w:rPr>
      <w:t>1</w:t>
    </w:r>
    <w:r>
      <w:rPr>
        <w:rStyle w:val="SubtleEmphasis"/>
      </w:rPr>
      <w:t xml:space="preserve">.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6CD" w:rsidRDefault="003F0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6CD" w:rsidRDefault="003F06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CD" w:rsidRPr="005E1341" w:rsidRDefault="003F06CD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3F06CD" w:rsidRPr="005E1341" w:rsidRDefault="003F06CD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87" w:rsidRDefault="00832487" w:rsidP="00714AC6">
      <w:r>
        <w:separator/>
      </w:r>
    </w:p>
  </w:footnote>
  <w:footnote w:type="continuationSeparator" w:id="0">
    <w:p w:rsidR="00832487" w:rsidRDefault="00832487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CD" w:rsidRDefault="003F0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CD" w:rsidRDefault="003F06C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CD" w:rsidRDefault="003F06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24FD"/>
    <w:rsid w:val="000214C7"/>
    <w:rsid w:val="000226A0"/>
    <w:rsid w:val="000231D5"/>
    <w:rsid w:val="000247E8"/>
    <w:rsid w:val="00027AF1"/>
    <w:rsid w:val="0003283A"/>
    <w:rsid w:val="00033734"/>
    <w:rsid w:val="00036898"/>
    <w:rsid w:val="00041263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A07E1"/>
    <w:rsid w:val="000A2BDC"/>
    <w:rsid w:val="000A2CF5"/>
    <w:rsid w:val="000A2D99"/>
    <w:rsid w:val="000A6A1D"/>
    <w:rsid w:val="000A6F1F"/>
    <w:rsid w:val="000A7571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3878"/>
    <w:rsid w:val="000D4C41"/>
    <w:rsid w:val="000D4FCF"/>
    <w:rsid w:val="000D50CD"/>
    <w:rsid w:val="000D660D"/>
    <w:rsid w:val="000D6A9E"/>
    <w:rsid w:val="000E003D"/>
    <w:rsid w:val="000E13D6"/>
    <w:rsid w:val="000E4278"/>
    <w:rsid w:val="000F277D"/>
    <w:rsid w:val="000F5BB3"/>
    <w:rsid w:val="00100EA2"/>
    <w:rsid w:val="0011098B"/>
    <w:rsid w:val="001114C6"/>
    <w:rsid w:val="00112BAB"/>
    <w:rsid w:val="00112D1F"/>
    <w:rsid w:val="0011306A"/>
    <w:rsid w:val="00117FB5"/>
    <w:rsid w:val="00121048"/>
    <w:rsid w:val="001227D2"/>
    <w:rsid w:val="00122D5D"/>
    <w:rsid w:val="00123ED2"/>
    <w:rsid w:val="00123FA1"/>
    <w:rsid w:val="0012496A"/>
    <w:rsid w:val="00130871"/>
    <w:rsid w:val="00133604"/>
    <w:rsid w:val="0013382D"/>
    <w:rsid w:val="001373BE"/>
    <w:rsid w:val="00141277"/>
    <w:rsid w:val="00141609"/>
    <w:rsid w:val="001427BE"/>
    <w:rsid w:val="001431C9"/>
    <w:rsid w:val="00145F16"/>
    <w:rsid w:val="00150FE7"/>
    <w:rsid w:val="00151E24"/>
    <w:rsid w:val="00151E5F"/>
    <w:rsid w:val="001539D8"/>
    <w:rsid w:val="00163200"/>
    <w:rsid w:val="001651D4"/>
    <w:rsid w:val="00166570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72DF"/>
    <w:rsid w:val="001A76C1"/>
    <w:rsid w:val="001B00F8"/>
    <w:rsid w:val="001B4792"/>
    <w:rsid w:val="001B5A37"/>
    <w:rsid w:val="001B628D"/>
    <w:rsid w:val="001C080D"/>
    <w:rsid w:val="001C2051"/>
    <w:rsid w:val="001C45E2"/>
    <w:rsid w:val="001C5A09"/>
    <w:rsid w:val="001D0643"/>
    <w:rsid w:val="001D09BA"/>
    <w:rsid w:val="001D15CA"/>
    <w:rsid w:val="001D2B2B"/>
    <w:rsid w:val="001D543D"/>
    <w:rsid w:val="001E09F5"/>
    <w:rsid w:val="001E46C8"/>
    <w:rsid w:val="001E677A"/>
    <w:rsid w:val="001E7E43"/>
    <w:rsid w:val="001F2527"/>
    <w:rsid w:val="001F2B77"/>
    <w:rsid w:val="00203371"/>
    <w:rsid w:val="00203B4F"/>
    <w:rsid w:val="00204517"/>
    <w:rsid w:val="002071DE"/>
    <w:rsid w:val="0021088B"/>
    <w:rsid w:val="0021361B"/>
    <w:rsid w:val="0021665A"/>
    <w:rsid w:val="002208D1"/>
    <w:rsid w:val="00221D84"/>
    <w:rsid w:val="002226DA"/>
    <w:rsid w:val="0022326C"/>
    <w:rsid w:val="00223A11"/>
    <w:rsid w:val="0022666B"/>
    <w:rsid w:val="00226820"/>
    <w:rsid w:val="002277CC"/>
    <w:rsid w:val="00230E5D"/>
    <w:rsid w:val="0023382B"/>
    <w:rsid w:val="00233B01"/>
    <w:rsid w:val="00234173"/>
    <w:rsid w:val="00236397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70A39"/>
    <w:rsid w:val="00273A21"/>
    <w:rsid w:val="00276676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929C1"/>
    <w:rsid w:val="00295311"/>
    <w:rsid w:val="002A4F75"/>
    <w:rsid w:val="002A7B01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D66"/>
    <w:rsid w:val="00314248"/>
    <w:rsid w:val="00314FA2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AEC"/>
    <w:rsid w:val="00326999"/>
    <w:rsid w:val="003304EB"/>
    <w:rsid w:val="003308EF"/>
    <w:rsid w:val="00330FE6"/>
    <w:rsid w:val="00331063"/>
    <w:rsid w:val="003316AD"/>
    <w:rsid w:val="00334258"/>
    <w:rsid w:val="00335B81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57F46"/>
    <w:rsid w:val="0036036E"/>
    <w:rsid w:val="00360F4F"/>
    <w:rsid w:val="003614BB"/>
    <w:rsid w:val="00361E57"/>
    <w:rsid w:val="00362B1E"/>
    <w:rsid w:val="00364089"/>
    <w:rsid w:val="00366F35"/>
    <w:rsid w:val="00373A32"/>
    <w:rsid w:val="003770B2"/>
    <w:rsid w:val="003808AB"/>
    <w:rsid w:val="00380C7E"/>
    <w:rsid w:val="00380DCB"/>
    <w:rsid w:val="003826C2"/>
    <w:rsid w:val="00382FDB"/>
    <w:rsid w:val="003875EC"/>
    <w:rsid w:val="00393520"/>
    <w:rsid w:val="00395C7A"/>
    <w:rsid w:val="00396EF5"/>
    <w:rsid w:val="003971CA"/>
    <w:rsid w:val="00397E29"/>
    <w:rsid w:val="003A304E"/>
    <w:rsid w:val="003A4820"/>
    <w:rsid w:val="003A4EA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4371"/>
    <w:rsid w:val="003F6520"/>
    <w:rsid w:val="003F7C6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63BE"/>
    <w:rsid w:val="0048155B"/>
    <w:rsid w:val="0048407E"/>
    <w:rsid w:val="00484E1F"/>
    <w:rsid w:val="00486BB6"/>
    <w:rsid w:val="004A2AF8"/>
    <w:rsid w:val="004A39C9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6990"/>
    <w:rsid w:val="004D7A83"/>
    <w:rsid w:val="004E220A"/>
    <w:rsid w:val="004E5DCA"/>
    <w:rsid w:val="004F00E6"/>
    <w:rsid w:val="004F13A5"/>
    <w:rsid w:val="004F3E41"/>
    <w:rsid w:val="004F4B97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3404"/>
    <w:rsid w:val="00585A1E"/>
    <w:rsid w:val="00591E0E"/>
    <w:rsid w:val="00593481"/>
    <w:rsid w:val="00594A6E"/>
    <w:rsid w:val="005A0BA5"/>
    <w:rsid w:val="005A1203"/>
    <w:rsid w:val="005B1681"/>
    <w:rsid w:val="005B3E33"/>
    <w:rsid w:val="005B5A63"/>
    <w:rsid w:val="005C521E"/>
    <w:rsid w:val="005C5600"/>
    <w:rsid w:val="005D091E"/>
    <w:rsid w:val="005E1341"/>
    <w:rsid w:val="005E20AC"/>
    <w:rsid w:val="005E20F7"/>
    <w:rsid w:val="005E5FC3"/>
    <w:rsid w:val="005F533A"/>
    <w:rsid w:val="005F5FAB"/>
    <w:rsid w:val="005F64DA"/>
    <w:rsid w:val="005F6AF6"/>
    <w:rsid w:val="006013BA"/>
    <w:rsid w:val="00603CA6"/>
    <w:rsid w:val="00606835"/>
    <w:rsid w:val="00613971"/>
    <w:rsid w:val="00614271"/>
    <w:rsid w:val="00616864"/>
    <w:rsid w:val="00617534"/>
    <w:rsid w:val="006177F9"/>
    <w:rsid w:val="00623E5D"/>
    <w:rsid w:val="0062646B"/>
    <w:rsid w:val="0062702E"/>
    <w:rsid w:val="00631C0E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333A"/>
    <w:rsid w:val="0065560E"/>
    <w:rsid w:val="00656069"/>
    <w:rsid w:val="00657B3E"/>
    <w:rsid w:val="00664244"/>
    <w:rsid w:val="006656A8"/>
    <w:rsid w:val="0066668E"/>
    <w:rsid w:val="0067682C"/>
    <w:rsid w:val="006774E1"/>
    <w:rsid w:val="006812CD"/>
    <w:rsid w:val="006835A4"/>
    <w:rsid w:val="00684471"/>
    <w:rsid w:val="00684852"/>
    <w:rsid w:val="00692307"/>
    <w:rsid w:val="006939FE"/>
    <w:rsid w:val="00694FA4"/>
    <w:rsid w:val="006A0468"/>
    <w:rsid w:val="006A22B2"/>
    <w:rsid w:val="006A3278"/>
    <w:rsid w:val="006A35FC"/>
    <w:rsid w:val="006A4132"/>
    <w:rsid w:val="006A7D0D"/>
    <w:rsid w:val="006B2B9F"/>
    <w:rsid w:val="006B5677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D2A1F"/>
    <w:rsid w:val="006D2FCE"/>
    <w:rsid w:val="006D3C05"/>
    <w:rsid w:val="006D55A1"/>
    <w:rsid w:val="006D649D"/>
    <w:rsid w:val="006D6A98"/>
    <w:rsid w:val="006E0406"/>
    <w:rsid w:val="006E08CE"/>
    <w:rsid w:val="006E214E"/>
    <w:rsid w:val="006E26BA"/>
    <w:rsid w:val="006E2747"/>
    <w:rsid w:val="006F00D2"/>
    <w:rsid w:val="006F32DF"/>
    <w:rsid w:val="006F3A58"/>
    <w:rsid w:val="006F3E1F"/>
    <w:rsid w:val="006F4640"/>
    <w:rsid w:val="006F6559"/>
    <w:rsid w:val="0070041B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D42"/>
    <w:rsid w:val="007204DD"/>
    <w:rsid w:val="00721711"/>
    <w:rsid w:val="007230AC"/>
    <w:rsid w:val="00723B2D"/>
    <w:rsid w:val="00725490"/>
    <w:rsid w:val="00730386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5144"/>
    <w:rsid w:val="00756A79"/>
    <w:rsid w:val="00757817"/>
    <w:rsid w:val="007609FB"/>
    <w:rsid w:val="00763FAE"/>
    <w:rsid w:val="007644A4"/>
    <w:rsid w:val="007656BF"/>
    <w:rsid w:val="00765736"/>
    <w:rsid w:val="00766F05"/>
    <w:rsid w:val="0077542F"/>
    <w:rsid w:val="00777026"/>
    <w:rsid w:val="00784F65"/>
    <w:rsid w:val="007871F1"/>
    <w:rsid w:val="007873C6"/>
    <w:rsid w:val="00787716"/>
    <w:rsid w:val="00787A04"/>
    <w:rsid w:val="0079184B"/>
    <w:rsid w:val="007952E8"/>
    <w:rsid w:val="00795365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D17E8"/>
    <w:rsid w:val="007D2042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5349"/>
    <w:rsid w:val="007F562B"/>
    <w:rsid w:val="007F6F74"/>
    <w:rsid w:val="007F7C33"/>
    <w:rsid w:val="008009C9"/>
    <w:rsid w:val="0080173A"/>
    <w:rsid w:val="008022F1"/>
    <w:rsid w:val="00803138"/>
    <w:rsid w:val="008050EB"/>
    <w:rsid w:val="00811002"/>
    <w:rsid w:val="008115B0"/>
    <w:rsid w:val="008115E0"/>
    <w:rsid w:val="00811DFA"/>
    <w:rsid w:val="00814414"/>
    <w:rsid w:val="008162A8"/>
    <w:rsid w:val="008166F1"/>
    <w:rsid w:val="00817620"/>
    <w:rsid w:val="00820117"/>
    <w:rsid w:val="00820F6C"/>
    <w:rsid w:val="00821CA3"/>
    <w:rsid w:val="00823B22"/>
    <w:rsid w:val="00825220"/>
    <w:rsid w:val="00825CF5"/>
    <w:rsid w:val="00826CBB"/>
    <w:rsid w:val="008278A2"/>
    <w:rsid w:val="00831DD0"/>
    <w:rsid w:val="00832487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5D"/>
    <w:rsid w:val="008550C6"/>
    <w:rsid w:val="008566D6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808AE"/>
    <w:rsid w:val="00880B44"/>
    <w:rsid w:val="00880D9E"/>
    <w:rsid w:val="00881D66"/>
    <w:rsid w:val="00883F4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38C1"/>
    <w:rsid w:val="008D4343"/>
    <w:rsid w:val="008D439F"/>
    <w:rsid w:val="008E0250"/>
    <w:rsid w:val="008E02E4"/>
    <w:rsid w:val="008E2041"/>
    <w:rsid w:val="008E42DB"/>
    <w:rsid w:val="008E4BF0"/>
    <w:rsid w:val="008E54C9"/>
    <w:rsid w:val="008E5931"/>
    <w:rsid w:val="008E5E1F"/>
    <w:rsid w:val="008E74E9"/>
    <w:rsid w:val="008F446D"/>
    <w:rsid w:val="008F4EB5"/>
    <w:rsid w:val="008F66EE"/>
    <w:rsid w:val="008F6961"/>
    <w:rsid w:val="00900C0E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7DF1"/>
    <w:rsid w:val="00922C46"/>
    <w:rsid w:val="0092580D"/>
    <w:rsid w:val="00932531"/>
    <w:rsid w:val="00932876"/>
    <w:rsid w:val="009333C8"/>
    <w:rsid w:val="00933FD2"/>
    <w:rsid w:val="009412A0"/>
    <w:rsid w:val="00941CF4"/>
    <w:rsid w:val="009421B3"/>
    <w:rsid w:val="00944061"/>
    <w:rsid w:val="009452B3"/>
    <w:rsid w:val="00946CF2"/>
    <w:rsid w:val="00947FE1"/>
    <w:rsid w:val="009501D2"/>
    <w:rsid w:val="00950BEA"/>
    <w:rsid w:val="0095231F"/>
    <w:rsid w:val="009524D1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9375D"/>
    <w:rsid w:val="009978BC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FCA"/>
    <w:rsid w:val="009D7880"/>
    <w:rsid w:val="009E0D8E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2D0C"/>
    <w:rsid w:val="00A14180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73A6"/>
    <w:rsid w:val="00A4039F"/>
    <w:rsid w:val="00A414FB"/>
    <w:rsid w:val="00A440CD"/>
    <w:rsid w:val="00A4700D"/>
    <w:rsid w:val="00A50433"/>
    <w:rsid w:val="00A532C1"/>
    <w:rsid w:val="00A5336C"/>
    <w:rsid w:val="00A53721"/>
    <w:rsid w:val="00A53787"/>
    <w:rsid w:val="00A56B5A"/>
    <w:rsid w:val="00A60877"/>
    <w:rsid w:val="00A61014"/>
    <w:rsid w:val="00A6335C"/>
    <w:rsid w:val="00A65BC0"/>
    <w:rsid w:val="00A66928"/>
    <w:rsid w:val="00A66C1C"/>
    <w:rsid w:val="00A678CE"/>
    <w:rsid w:val="00A7033D"/>
    <w:rsid w:val="00A70E28"/>
    <w:rsid w:val="00A77F79"/>
    <w:rsid w:val="00A85BBF"/>
    <w:rsid w:val="00A86AAB"/>
    <w:rsid w:val="00A92043"/>
    <w:rsid w:val="00AA0868"/>
    <w:rsid w:val="00AA0C40"/>
    <w:rsid w:val="00AA1082"/>
    <w:rsid w:val="00AA132D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32EB"/>
    <w:rsid w:val="00AB3378"/>
    <w:rsid w:val="00AC5FF4"/>
    <w:rsid w:val="00AD0645"/>
    <w:rsid w:val="00AD14DA"/>
    <w:rsid w:val="00AD33A8"/>
    <w:rsid w:val="00AD3561"/>
    <w:rsid w:val="00AD3EF5"/>
    <w:rsid w:val="00AD4F44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201FF"/>
    <w:rsid w:val="00B219D0"/>
    <w:rsid w:val="00B2301C"/>
    <w:rsid w:val="00B2362C"/>
    <w:rsid w:val="00B23A92"/>
    <w:rsid w:val="00B23E9C"/>
    <w:rsid w:val="00B32AF9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6360"/>
    <w:rsid w:val="00B769A7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5AF"/>
    <w:rsid w:val="00BC427B"/>
    <w:rsid w:val="00BC647A"/>
    <w:rsid w:val="00BC6F9B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6B4F"/>
    <w:rsid w:val="00BF6B76"/>
    <w:rsid w:val="00C0521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4F23"/>
    <w:rsid w:val="00C34F5E"/>
    <w:rsid w:val="00C371C1"/>
    <w:rsid w:val="00C40BD3"/>
    <w:rsid w:val="00C42BCF"/>
    <w:rsid w:val="00C42C75"/>
    <w:rsid w:val="00C44E6E"/>
    <w:rsid w:val="00C47063"/>
    <w:rsid w:val="00C47FC6"/>
    <w:rsid w:val="00C50C44"/>
    <w:rsid w:val="00C51612"/>
    <w:rsid w:val="00C521B4"/>
    <w:rsid w:val="00C5291B"/>
    <w:rsid w:val="00C53CED"/>
    <w:rsid w:val="00C544EB"/>
    <w:rsid w:val="00C625F4"/>
    <w:rsid w:val="00C64697"/>
    <w:rsid w:val="00C65E0F"/>
    <w:rsid w:val="00C67005"/>
    <w:rsid w:val="00C67874"/>
    <w:rsid w:val="00C70C81"/>
    <w:rsid w:val="00C71136"/>
    <w:rsid w:val="00C71728"/>
    <w:rsid w:val="00C73528"/>
    <w:rsid w:val="00C7578B"/>
    <w:rsid w:val="00C825A8"/>
    <w:rsid w:val="00C8612F"/>
    <w:rsid w:val="00C92493"/>
    <w:rsid w:val="00C9630B"/>
    <w:rsid w:val="00CA0383"/>
    <w:rsid w:val="00CA17B0"/>
    <w:rsid w:val="00CA193A"/>
    <w:rsid w:val="00CA1E7C"/>
    <w:rsid w:val="00CA4D97"/>
    <w:rsid w:val="00CA7F8B"/>
    <w:rsid w:val="00CB00EB"/>
    <w:rsid w:val="00CB060C"/>
    <w:rsid w:val="00CB16B6"/>
    <w:rsid w:val="00CB2913"/>
    <w:rsid w:val="00CB32AA"/>
    <w:rsid w:val="00CB3525"/>
    <w:rsid w:val="00CB4031"/>
    <w:rsid w:val="00CB4556"/>
    <w:rsid w:val="00CB5FD2"/>
    <w:rsid w:val="00CC02F6"/>
    <w:rsid w:val="00CC14B3"/>
    <w:rsid w:val="00CC292C"/>
    <w:rsid w:val="00CC5254"/>
    <w:rsid w:val="00CC5DED"/>
    <w:rsid w:val="00CD0164"/>
    <w:rsid w:val="00CD394D"/>
    <w:rsid w:val="00CD4279"/>
    <w:rsid w:val="00CD43A0"/>
    <w:rsid w:val="00CD5205"/>
    <w:rsid w:val="00CE0087"/>
    <w:rsid w:val="00CE0AE4"/>
    <w:rsid w:val="00CE1F4D"/>
    <w:rsid w:val="00CE424A"/>
    <w:rsid w:val="00CE45AC"/>
    <w:rsid w:val="00CE6066"/>
    <w:rsid w:val="00CE633E"/>
    <w:rsid w:val="00CF252F"/>
    <w:rsid w:val="00D0023E"/>
    <w:rsid w:val="00D00429"/>
    <w:rsid w:val="00D009E6"/>
    <w:rsid w:val="00D01A4E"/>
    <w:rsid w:val="00D031EE"/>
    <w:rsid w:val="00D03B34"/>
    <w:rsid w:val="00D05433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6A97"/>
    <w:rsid w:val="00DF05F6"/>
    <w:rsid w:val="00DF2424"/>
    <w:rsid w:val="00DF2A52"/>
    <w:rsid w:val="00DF4557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47CB"/>
    <w:rsid w:val="00E30425"/>
    <w:rsid w:val="00E31297"/>
    <w:rsid w:val="00E33A84"/>
    <w:rsid w:val="00E35096"/>
    <w:rsid w:val="00E35D4B"/>
    <w:rsid w:val="00E35E88"/>
    <w:rsid w:val="00E371D5"/>
    <w:rsid w:val="00E37BA2"/>
    <w:rsid w:val="00E42EE7"/>
    <w:rsid w:val="00E43E0C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4278"/>
    <w:rsid w:val="00E86035"/>
    <w:rsid w:val="00E8721A"/>
    <w:rsid w:val="00E90EA7"/>
    <w:rsid w:val="00E918AC"/>
    <w:rsid w:val="00E94016"/>
    <w:rsid w:val="00E971C4"/>
    <w:rsid w:val="00EA0A53"/>
    <w:rsid w:val="00EA15BB"/>
    <w:rsid w:val="00EA3EC5"/>
    <w:rsid w:val="00EA5286"/>
    <w:rsid w:val="00EB0E1F"/>
    <w:rsid w:val="00EB4DCF"/>
    <w:rsid w:val="00EB5045"/>
    <w:rsid w:val="00EC551E"/>
    <w:rsid w:val="00EC6CF0"/>
    <w:rsid w:val="00ED0110"/>
    <w:rsid w:val="00ED08E0"/>
    <w:rsid w:val="00ED1DB4"/>
    <w:rsid w:val="00ED1E76"/>
    <w:rsid w:val="00ED33C7"/>
    <w:rsid w:val="00ED5499"/>
    <w:rsid w:val="00ED6D11"/>
    <w:rsid w:val="00EE1D91"/>
    <w:rsid w:val="00EE4ABC"/>
    <w:rsid w:val="00EF1E76"/>
    <w:rsid w:val="00EF39EF"/>
    <w:rsid w:val="00EF4AAF"/>
    <w:rsid w:val="00EF6703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DB7"/>
    <w:rsid w:val="00F57C6E"/>
    <w:rsid w:val="00F60492"/>
    <w:rsid w:val="00F62A47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11C"/>
    <w:rsid w:val="00FD073A"/>
    <w:rsid w:val="00FD1CD5"/>
    <w:rsid w:val="00FD4876"/>
    <w:rsid w:val="00FD6003"/>
    <w:rsid w:val="00FD6DA9"/>
    <w:rsid w:val="00FD7821"/>
    <w:rsid w:val="00FD7E59"/>
    <w:rsid w:val="00FE05DC"/>
    <w:rsid w:val="00FE0FF2"/>
    <w:rsid w:val="00FE23CE"/>
    <w:rsid w:val="00FE5358"/>
    <w:rsid w:val="00FE7E3F"/>
    <w:rsid w:val="00FF15ED"/>
    <w:rsid w:val="00FF2E44"/>
    <w:rsid w:val="00FF3573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CF3E-4E0C-4D9D-AEF4-92A7CB9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4659</Words>
  <Characters>26562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4</cp:revision>
  <cp:lastPrinted>2021-12-11T19:57:00Z</cp:lastPrinted>
  <dcterms:created xsi:type="dcterms:W3CDTF">2021-12-14T10:53:00Z</dcterms:created>
  <dcterms:modified xsi:type="dcterms:W3CDTF">2021-12-31T08:50:00Z</dcterms:modified>
</cp:coreProperties>
</file>