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7F2E8C">
        <w:rPr>
          <w:rFonts w:ascii="Times New Roman" w:hAnsi="Times New Roman" w:cs="Times New Roman"/>
          <w:sz w:val="24"/>
          <w:szCs w:val="24"/>
        </w:rPr>
        <w:t>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7F2E8C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903F4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39CE">
        <w:rPr>
          <w:rFonts w:ascii="Times New Roman" w:hAnsi="Times New Roman" w:cs="Times New Roman"/>
          <w:sz w:val="24"/>
          <w:szCs w:val="24"/>
          <w:lang w:val="sr-Latn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5639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A10385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160D96">
        <w:rPr>
          <w:rFonts w:ascii="Times New Roman" w:hAnsi="Times New Roman" w:cs="Times New Roman"/>
          <w:sz w:val="24"/>
          <w:szCs w:val="24"/>
        </w:rPr>
        <w:t>4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442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FE3488" w:rsidRPr="00FE3488" w:rsidRDefault="00FE3488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Измена програма пословања за 2018. годину  извршена је на седници надзорног одбора 23.08.2018.године – Одлука број:2731-2/18. на коју је сагласност дата од стране СКУПШТИНЕ ОПШТИНЕ ЧАЈЕТИНА 13.09.2018.године – Решење број: 02-56/2018-01.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117C16"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17C16">
        <w:rPr>
          <w:rFonts w:ascii="Times New Roman" w:hAnsi="Times New Roman" w:cs="Times New Roman"/>
          <w:iCs/>
          <w:sz w:val="24"/>
          <w:szCs w:val="24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A10385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D340E">
        <w:rPr>
          <w:rFonts w:ascii="Times New Roman" w:hAnsi="Times New Roman" w:cs="Times New Roman"/>
          <w:iCs/>
          <w:sz w:val="24"/>
          <w:szCs w:val="24"/>
        </w:rPr>
        <w:t>52,73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2018.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086F01">
        <w:rPr>
          <w:rFonts w:ascii="Times New Roman" w:hAnsi="Times New Roman" w:cs="Times New Roman"/>
          <w:iCs/>
          <w:sz w:val="24"/>
          <w:szCs w:val="24"/>
          <w:lang w:val="sr-Cyrl-RS"/>
        </w:rPr>
        <w:t>49,29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6F32D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D34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пословне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>253.397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>приходе од основне делатности 142.308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Примљена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донација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4CA9">
        <w:rPr>
          <w:rFonts w:ascii="Times New Roman" w:hAnsi="Times New Roman" w:cs="Times New Roman"/>
          <w:iCs/>
          <w:sz w:val="24"/>
          <w:szCs w:val="24"/>
          <w:lang w:val="sr-Cyrl-RS"/>
        </w:rPr>
        <w:t>у 2018. години</w:t>
      </w:r>
      <w:bookmarkStart w:id="0" w:name="_GoBack"/>
      <w:bookmarkEnd w:id="0"/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изградњу постројења за отпадне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износи 20.311 хиљада динара.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225.297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81.995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23.455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50.291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26.408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26.205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16.943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28.100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ово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ј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години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4.116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1.148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3.024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10.504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8.692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4772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 из ранијег периода 10 хиљада динара,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67BE">
        <w:rPr>
          <w:rFonts w:ascii="Times New Roman" w:hAnsi="Times New Roman" w:cs="Times New Roman"/>
          <w:iCs/>
          <w:sz w:val="24"/>
          <w:szCs w:val="24"/>
          <w:lang w:val="sr-Cyrl-RS"/>
        </w:rPr>
        <w:t>32.270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 Финансијски резултат је утврђен на основу документације која је достављена на књижење до почетка израде кварталног извештаја. Напомињемо да 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>су следећи трошкови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које није достављена документација на књижење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процењени и укључени у овај извештај: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>тошкова електричне елергије за месец децмбар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>(1.500 хиљада)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утрошак 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хемикалија за децембар на Постројењу за прераду воде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(600 хиљада)</w:t>
      </w:r>
      <w:r w:rsidR="00EF36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трошкови материјала 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>утрошеног за одржавање цевовода (900 хиљада).</w:t>
      </w:r>
    </w:p>
    <w:p w:rsidR="005C343B" w:rsidRDefault="00AB3BA8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процењен на 6.000 хиљада динара, 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>тачан износ биће утврђен када се заврше сва књижења за 2018. годину и састави порески биланс.</w:t>
      </w:r>
    </w:p>
    <w:p w:rsidR="005C343B" w:rsidRPr="00014DE2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10B4E" w:rsidRPr="00C16FB8" w:rsidRDefault="00910B4E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lastRenderedPageBreak/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четвртог </w:t>
      </w:r>
      <w:r w:rsidR="00F15D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>747.631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>613.593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у 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>2018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3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.2018.г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19.017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134.038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капитал износи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568.266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20.515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149.467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9.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38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2.800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21.783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прилив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1.744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20.039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3435FD">
        <w:rPr>
          <w:rFonts w:ascii="Times New Roman" w:hAnsi="Times New Roman" w:cs="Times New Roman"/>
          <w:iCs/>
          <w:sz w:val="24"/>
          <w:szCs w:val="24"/>
          <w:lang w:val="sr-Cyrl-RS"/>
        </w:rPr>
        <w:t>21.783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годину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82,78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3B18" w:rsidRDefault="002F6C1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акнаде по уговору о привременим и повременим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54,28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71,69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88,47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66,88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52,30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отпремнине (технолошки вишак) остварене су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107,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%, јубиларне награде остварене су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53,60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>%, солидарна по</w:t>
      </w:r>
      <w:r w:rsidR="00B4124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оћ за ублажавање неповољног материјалног положаја запослених остварена је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84,00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а све у односу на планирано на 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дишњем нивоу. Сви ови трошкови су и у планираним оквирима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, осим трошкова за исплату отпремнина по основу технолошког вишка.</w:t>
      </w:r>
    </w:p>
    <w:p w:rsidR="000B7E8B" w:rsidRDefault="000B7E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E8B" w:rsidRDefault="000B7E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AD8" w:rsidRDefault="00DE1AD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AD8" w:rsidRDefault="00DE1AD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2018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75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A4E25" w:rsidRPr="00DE1AD8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5E771D" w:rsidRPr="004C168B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78.754.718,46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што је</w:t>
      </w:r>
      <w:r w:rsidR="000C45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457B">
        <w:rPr>
          <w:rFonts w:ascii="Times New Roman" w:hAnsi="Times New Roman" w:cs="Times New Roman"/>
          <w:sz w:val="24"/>
          <w:szCs w:val="24"/>
          <w:lang w:val="sr-Cyrl-RS"/>
        </w:rPr>
        <w:t>у пословним књигама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евидентирано  као повећање државног капитала, а у складу са закљученим уговором.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0C45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7BB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 и средства за хуманитарне сврхе.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5A3C11">
        <w:rPr>
          <w:rFonts w:ascii="Times New Roman" w:hAnsi="Times New Roman" w:cs="Times New Roman"/>
          <w:sz w:val="24"/>
          <w:szCs w:val="24"/>
          <w:lang w:val="sr-Cyrl-RS"/>
        </w:rPr>
        <w:t>95,26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5A3C11">
        <w:rPr>
          <w:rFonts w:ascii="Times New Roman" w:hAnsi="Times New Roman" w:cs="Times New Roman"/>
          <w:sz w:val="24"/>
          <w:szCs w:val="24"/>
          <w:lang w:val="sr-Cyrl-RS"/>
        </w:rPr>
        <w:t>66,63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7827BB" w:rsidRDefault="007827B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овом периоду </w:t>
      </w:r>
      <w:r w:rsidR="00692620">
        <w:rPr>
          <w:rFonts w:ascii="Times New Roman" w:hAnsi="Times New Roman" w:cs="Times New Roman"/>
          <w:sz w:val="24"/>
          <w:szCs w:val="24"/>
          <w:lang w:val="sr-Cyrl-RS"/>
        </w:rPr>
        <w:t>за хуманитарне сврхе уплаћено је 49 хиљада динара, 16,33% од планираног.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Pr="004D5DB2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овој години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су обухваћене планом за наредну пословну годину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5A3C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им пословним годинама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</w:t>
      </w:r>
      <w:r w:rsidR="0086367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975D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све у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>циљу да се реализуј</w:t>
      </w:r>
      <w:r w:rsidR="0086367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усвојени програм</w:t>
      </w:r>
      <w:r w:rsidR="00DE1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пословања</w:t>
      </w:r>
      <w:r w:rsidR="00DE1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3F4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00" w:rsidRDefault="00814400" w:rsidP="00F4195D">
      <w:pPr>
        <w:spacing w:after="0" w:line="240" w:lineRule="auto"/>
      </w:pPr>
      <w:r>
        <w:separator/>
      </w:r>
    </w:p>
  </w:endnote>
  <w:endnote w:type="continuationSeparator" w:id="0">
    <w:p w:rsidR="00814400" w:rsidRDefault="0081440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CA9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00" w:rsidRDefault="00814400" w:rsidP="00F4195D">
      <w:pPr>
        <w:spacing w:after="0" w:line="240" w:lineRule="auto"/>
      </w:pPr>
      <w:r>
        <w:separator/>
      </w:r>
    </w:p>
  </w:footnote>
  <w:footnote w:type="continuationSeparator" w:id="0">
    <w:p w:rsidR="00814400" w:rsidRDefault="00814400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14DE2"/>
    <w:rsid w:val="000312A6"/>
    <w:rsid w:val="0005131A"/>
    <w:rsid w:val="00064A59"/>
    <w:rsid w:val="00086F01"/>
    <w:rsid w:val="000A0456"/>
    <w:rsid w:val="000A5C0B"/>
    <w:rsid w:val="000B2857"/>
    <w:rsid w:val="000B7E8B"/>
    <w:rsid w:val="000C457B"/>
    <w:rsid w:val="000C4F57"/>
    <w:rsid w:val="000D0FEA"/>
    <w:rsid w:val="000F7BD8"/>
    <w:rsid w:val="00102E34"/>
    <w:rsid w:val="001036C7"/>
    <w:rsid w:val="001066C3"/>
    <w:rsid w:val="00111985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37F9"/>
    <w:rsid w:val="001A63B0"/>
    <w:rsid w:val="001B18AD"/>
    <w:rsid w:val="001B7B3F"/>
    <w:rsid w:val="001C1635"/>
    <w:rsid w:val="001D3591"/>
    <w:rsid w:val="001E3CB7"/>
    <w:rsid w:val="001F0B4B"/>
    <w:rsid w:val="001F3CDA"/>
    <w:rsid w:val="0020447D"/>
    <w:rsid w:val="00206B72"/>
    <w:rsid w:val="002136AC"/>
    <w:rsid w:val="00222E19"/>
    <w:rsid w:val="00227B25"/>
    <w:rsid w:val="002514FD"/>
    <w:rsid w:val="002554F8"/>
    <w:rsid w:val="00257CA6"/>
    <w:rsid w:val="00292647"/>
    <w:rsid w:val="0029494D"/>
    <w:rsid w:val="002A0A4E"/>
    <w:rsid w:val="002A0EF9"/>
    <w:rsid w:val="002A2DEC"/>
    <w:rsid w:val="002A55CB"/>
    <w:rsid w:val="002D700E"/>
    <w:rsid w:val="002E2315"/>
    <w:rsid w:val="002F2A7F"/>
    <w:rsid w:val="002F6C1F"/>
    <w:rsid w:val="002F7FA5"/>
    <w:rsid w:val="00323EDB"/>
    <w:rsid w:val="00332795"/>
    <w:rsid w:val="003435FD"/>
    <w:rsid w:val="0034694D"/>
    <w:rsid w:val="003548E9"/>
    <w:rsid w:val="00360636"/>
    <w:rsid w:val="0037516B"/>
    <w:rsid w:val="00381955"/>
    <w:rsid w:val="003940F1"/>
    <w:rsid w:val="003A2E7D"/>
    <w:rsid w:val="003B0459"/>
    <w:rsid w:val="003B2D04"/>
    <w:rsid w:val="003D39B5"/>
    <w:rsid w:val="003D5700"/>
    <w:rsid w:val="003F619F"/>
    <w:rsid w:val="00416688"/>
    <w:rsid w:val="00420EB8"/>
    <w:rsid w:val="004406C9"/>
    <w:rsid w:val="004444CC"/>
    <w:rsid w:val="004452F7"/>
    <w:rsid w:val="00447DA8"/>
    <w:rsid w:val="004870AF"/>
    <w:rsid w:val="00491F93"/>
    <w:rsid w:val="004A33B4"/>
    <w:rsid w:val="004C0D21"/>
    <w:rsid w:val="004C168B"/>
    <w:rsid w:val="004D5DB2"/>
    <w:rsid w:val="004F67BE"/>
    <w:rsid w:val="00503B18"/>
    <w:rsid w:val="00513360"/>
    <w:rsid w:val="00514F39"/>
    <w:rsid w:val="00516288"/>
    <w:rsid w:val="005162A0"/>
    <w:rsid w:val="00522430"/>
    <w:rsid w:val="00545C4C"/>
    <w:rsid w:val="00555541"/>
    <w:rsid w:val="005639CE"/>
    <w:rsid w:val="005641FB"/>
    <w:rsid w:val="00571B8B"/>
    <w:rsid w:val="0058250A"/>
    <w:rsid w:val="0059422F"/>
    <w:rsid w:val="005948A3"/>
    <w:rsid w:val="005A3C11"/>
    <w:rsid w:val="005B1FB3"/>
    <w:rsid w:val="005C343B"/>
    <w:rsid w:val="005D0D75"/>
    <w:rsid w:val="005D3567"/>
    <w:rsid w:val="005D39FE"/>
    <w:rsid w:val="005D635E"/>
    <w:rsid w:val="005E51FF"/>
    <w:rsid w:val="005E562F"/>
    <w:rsid w:val="005E771D"/>
    <w:rsid w:val="00610E76"/>
    <w:rsid w:val="00617E43"/>
    <w:rsid w:val="0062282D"/>
    <w:rsid w:val="00625351"/>
    <w:rsid w:val="00626275"/>
    <w:rsid w:val="00627970"/>
    <w:rsid w:val="00654612"/>
    <w:rsid w:val="00661A94"/>
    <w:rsid w:val="0066227A"/>
    <w:rsid w:val="00685854"/>
    <w:rsid w:val="00685DC3"/>
    <w:rsid w:val="006868F4"/>
    <w:rsid w:val="006878C1"/>
    <w:rsid w:val="00692620"/>
    <w:rsid w:val="006A06D6"/>
    <w:rsid w:val="006A1A60"/>
    <w:rsid w:val="006A1DCF"/>
    <w:rsid w:val="006B2D63"/>
    <w:rsid w:val="006C33C7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558D"/>
    <w:rsid w:val="0075026A"/>
    <w:rsid w:val="00752B33"/>
    <w:rsid w:val="00752CFA"/>
    <w:rsid w:val="007640DB"/>
    <w:rsid w:val="00766A62"/>
    <w:rsid w:val="007827BB"/>
    <w:rsid w:val="00785345"/>
    <w:rsid w:val="007873C0"/>
    <w:rsid w:val="007A51D4"/>
    <w:rsid w:val="007B5C7D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20F72"/>
    <w:rsid w:val="008274E9"/>
    <w:rsid w:val="00833DF1"/>
    <w:rsid w:val="00835B19"/>
    <w:rsid w:val="00836A8E"/>
    <w:rsid w:val="0085355F"/>
    <w:rsid w:val="00855DA4"/>
    <w:rsid w:val="00863673"/>
    <w:rsid w:val="008C6581"/>
    <w:rsid w:val="008C7EE0"/>
    <w:rsid w:val="008D1399"/>
    <w:rsid w:val="008D4EFF"/>
    <w:rsid w:val="008D614E"/>
    <w:rsid w:val="008E481C"/>
    <w:rsid w:val="008E73A4"/>
    <w:rsid w:val="008F75F1"/>
    <w:rsid w:val="0090378E"/>
    <w:rsid w:val="00903F42"/>
    <w:rsid w:val="00905C08"/>
    <w:rsid w:val="00910B4E"/>
    <w:rsid w:val="0091310B"/>
    <w:rsid w:val="00936500"/>
    <w:rsid w:val="009426CC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B22ED"/>
    <w:rsid w:val="009D24C6"/>
    <w:rsid w:val="009D4010"/>
    <w:rsid w:val="009E5D51"/>
    <w:rsid w:val="00A10385"/>
    <w:rsid w:val="00A270E7"/>
    <w:rsid w:val="00A279B8"/>
    <w:rsid w:val="00A3425F"/>
    <w:rsid w:val="00A34D76"/>
    <w:rsid w:val="00A4010B"/>
    <w:rsid w:val="00A42960"/>
    <w:rsid w:val="00A52A1D"/>
    <w:rsid w:val="00A77995"/>
    <w:rsid w:val="00A82507"/>
    <w:rsid w:val="00A82F66"/>
    <w:rsid w:val="00A90870"/>
    <w:rsid w:val="00A92D68"/>
    <w:rsid w:val="00AA2383"/>
    <w:rsid w:val="00AB0A43"/>
    <w:rsid w:val="00AB3BA8"/>
    <w:rsid w:val="00AB6875"/>
    <w:rsid w:val="00AC143F"/>
    <w:rsid w:val="00AD2D99"/>
    <w:rsid w:val="00AD340E"/>
    <w:rsid w:val="00AD45BC"/>
    <w:rsid w:val="00AF7436"/>
    <w:rsid w:val="00B0725A"/>
    <w:rsid w:val="00B10518"/>
    <w:rsid w:val="00B4124E"/>
    <w:rsid w:val="00B418C9"/>
    <w:rsid w:val="00B44B77"/>
    <w:rsid w:val="00B44D6B"/>
    <w:rsid w:val="00B47A50"/>
    <w:rsid w:val="00B47E68"/>
    <w:rsid w:val="00B504D6"/>
    <w:rsid w:val="00B53AED"/>
    <w:rsid w:val="00B572AC"/>
    <w:rsid w:val="00B61787"/>
    <w:rsid w:val="00B83D92"/>
    <w:rsid w:val="00B84BCC"/>
    <w:rsid w:val="00B8568A"/>
    <w:rsid w:val="00BA0772"/>
    <w:rsid w:val="00BA5E41"/>
    <w:rsid w:val="00BA617A"/>
    <w:rsid w:val="00BD14F0"/>
    <w:rsid w:val="00BD77D1"/>
    <w:rsid w:val="00BF085C"/>
    <w:rsid w:val="00C16FB8"/>
    <w:rsid w:val="00C23276"/>
    <w:rsid w:val="00C34CA9"/>
    <w:rsid w:val="00C40F5B"/>
    <w:rsid w:val="00C46EE8"/>
    <w:rsid w:val="00C51C2F"/>
    <w:rsid w:val="00C94886"/>
    <w:rsid w:val="00CA7E7B"/>
    <w:rsid w:val="00CB0A2C"/>
    <w:rsid w:val="00CB3ACF"/>
    <w:rsid w:val="00CC0ADC"/>
    <w:rsid w:val="00CC2A45"/>
    <w:rsid w:val="00CC5EB3"/>
    <w:rsid w:val="00CE280D"/>
    <w:rsid w:val="00CE3A34"/>
    <w:rsid w:val="00D20DFE"/>
    <w:rsid w:val="00D26B2E"/>
    <w:rsid w:val="00D27537"/>
    <w:rsid w:val="00D52BFA"/>
    <w:rsid w:val="00D55834"/>
    <w:rsid w:val="00D621D2"/>
    <w:rsid w:val="00D87F06"/>
    <w:rsid w:val="00D91A2E"/>
    <w:rsid w:val="00D937AC"/>
    <w:rsid w:val="00DA320D"/>
    <w:rsid w:val="00DA5C39"/>
    <w:rsid w:val="00DC3747"/>
    <w:rsid w:val="00DD473D"/>
    <w:rsid w:val="00DE0916"/>
    <w:rsid w:val="00DE0F26"/>
    <w:rsid w:val="00DE1AD8"/>
    <w:rsid w:val="00DF6994"/>
    <w:rsid w:val="00E07019"/>
    <w:rsid w:val="00E203DD"/>
    <w:rsid w:val="00E25524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858"/>
    <w:rsid w:val="00EC5C45"/>
    <w:rsid w:val="00ED69B1"/>
    <w:rsid w:val="00EE1525"/>
    <w:rsid w:val="00EE21C7"/>
    <w:rsid w:val="00EE49BB"/>
    <w:rsid w:val="00EF36FF"/>
    <w:rsid w:val="00EF53C7"/>
    <w:rsid w:val="00EF674F"/>
    <w:rsid w:val="00F13230"/>
    <w:rsid w:val="00F13910"/>
    <w:rsid w:val="00F15D57"/>
    <w:rsid w:val="00F2160F"/>
    <w:rsid w:val="00F219AD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5D"/>
    <w:rsid w:val="00FE3488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F875-A9C6-4172-B383-52FDEC48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13</cp:revision>
  <cp:lastPrinted>2018-01-27T15:14:00Z</cp:lastPrinted>
  <dcterms:created xsi:type="dcterms:W3CDTF">2019-01-18T06:20:00Z</dcterms:created>
  <dcterms:modified xsi:type="dcterms:W3CDTF">2019-01-23T06:20:00Z</dcterms:modified>
</cp:coreProperties>
</file>