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2D700E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2D700E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2D70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5948A3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700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160D96">
        <w:rPr>
          <w:rFonts w:ascii="Times New Roman" w:hAnsi="Times New Roman" w:cs="Times New Roman"/>
          <w:sz w:val="24"/>
          <w:szCs w:val="24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</w:t>
      </w:r>
      <w:r w:rsidR="00160D96">
        <w:rPr>
          <w:rFonts w:ascii="Times New Roman" w:hAnsi="Times New Roman" w:cs="Times New Roman"/>
          <w:sz w:val="24"/>
          <w:szCs w:val="24"/>
        </w:rPr>
        <w:t>5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160D96">
        <w:rPr>
          <w:rFonts w:ascii="Times New Roman" w:hAnsi="Times New Roman" w:cs="Times New Roman"/>
          <w:sz w:val="24"/>
          <w:szCs w:val="24"/>
        </w:rPr>
        <w:t>6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160D96">
        <w:rPr>
          <w:rFonts w:ascii="Times New Roman" w:hAnsi="Times New Roman" w:cs="Times New Roman"/>
          <w:sz w:val="24"/>
          <w:szCs w:val="24"/>
        </w:rPr>
        <w:t>4524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16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160D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E203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02-1</w:t>
      </w:r>
      <w:r w:rsidR="00E203D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E203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610E76" w:rsidRDefault="006A1DCF" w:rsidP="00F2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03DD" w:rsidRP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E203DD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522430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03DD">
        <w:rPr>
          <w:rFonts w:ascii="Times New Roman" w:hAnsi="Times New Roman" w:cs="Times New Roman"/>
          <w:iCs/>
          <w:sz w:val="24"/>
          <w:szCs w:val="24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E203DD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ово предузеће је обављало своју основну делатност( сакупљање, пречишћавање и дистрибуција воде) у приближно планираним оквирима.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Остварено је 20,20% од укупно планираних прихода од основне делатности за 2017.годину.</w:t>
      </w:r>
      <w:r w:rsidR="001036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203DD">
        <w:rPr>
          <w:rFonts w:ascii="Times New Roman" w:hAnsi="Times New Roman" w:cs="Times New Roman"/>
          <w:iCs/>
          <w:sz w:val="24"/>
          <w:szCs w:val="24"/>
          <w:lang w:val="sr-Cyrl-RS"/>
        </w:rPr>
        <w:t>овом периоду 2017.г.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41.416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31</w:t>
      </w:r>
      <w:r w:rsidR="008071B2">
        <w:rPr>
          <w:rFonts w:ascii="Times New Roman" w:hAnsi="Times New Roman" w:cs="Times New Roman"/>
          <w:iCs/>
          <w:sz w:val="24"/>
          <w:szCs w:val="24"/>
        </w:rPr>
        <w:t>.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014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лате комуналних услуга , приходи по основу државних давања и условљених донација.</w:t>
      </w:r>
    </w:p>
    <w:p w:rsidR="00C16FB8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42.094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20.375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4.608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4.803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4.856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4.210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936500">
        <w:rPr>
          <w:rFonts w:ascii="Times New Roman" w:hAnsi="Times New Roman" w:cs="Times New Roman"/>
          <w:iCs/>
          <w:sz w:val="24"/>
          <w:szCs w:val="24"/>
          <w:lang w:val="sr-Cyrl-RS"/>
        </w:rPr>
        <w:t>3.242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678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Такође, у овом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и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88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415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697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губитак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484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160DD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75026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потребе овог извештаја порески расход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5C343B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C343B" w:rsidRPr="00014DE2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16FB8" w:rsidRPr="00C16FB8" w:rsidRDefault="00C16FB8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120657">
        <w:rPr>
          <w:rFonts w:ascii="Times New Roman" w:hAnsi="Times New Roman" w:cs="Times New Roman"/>
          <w:iCs/>
          <w:sz w:val="24"/>
          <w:szCs w:val="24"/>
          <w:lang w:val="sr-Cyrl-RS"/>
        </w:rPr>
        <w:t>првог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206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2017.г.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</w:t>
      </w:r>
      <w:r w:rsidR="00120657">
        <w:rPr>
          <w:rFonts w:ascii="Times New Roman" w:hAnsi="Times New Roman" w:cs="Times New Roman"/>
          <w:iCs/>
          <w:sz w:val="24"/>
          <w:szCs w:val="24"/>
          <w:lang w:val="sr-Cyrl-RS"/>
        </w:rPr>
        <w:t>452.139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8071B2">
        <w:rPr>
          <w:rFonts w:ascii="Times New Roman" w:hAnsi="Times New Roman" w:cs="Times New Roman"/>
          <w:iCs/>
          <w:sz w:val="24"/>
          <w:szCs w:val="24"/>
        </w:rPr>
        <w:t>345.409</w:t>
      </w:r>
      <w:r w:rsidR="00A92D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да динара  и представља  вредност ове имовине након увећања по основу набавке опреме  у овом периоду и обрачуна амортизације за 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три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>месеца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ове пословне године.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сталне имовине укључен је и плаћени аванс за постројење за отпадне воде.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>106.730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A92D68" w:rsidRDefault="006868F4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капитал износи </w:t>
      </w:r>
      <w:r w:rsidR="001B18AD">
        <w:rPr>
          <w:rFonts w:ascii="Times New Roman" w:hAnsi="Times New Roman" w:cs="Times New Roman"/>
          <w:iCs/>
          <w:sz w:val="24"/>
          <w:szCs w:val="24"/>
          <w:lang w:val="sr-Cyrl-RS"/>
        </w:rPr>
        <w:t>346.048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17.563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краткорочне обавезе 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78.669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.</w:t>
      </w:r>
    </w:p>
    <w:p w:rsidR="000A5C0B" w:rsidRDefault="000A5C0B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92D68" w:rsidRPr="00CE280D" w:rsidRDefault="00A92D68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веће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1.000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10.845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одлив у износу од 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7.096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3.749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10.845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 01.01.-3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овај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зарада су остварене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20,60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нивоу, а 79,55</w:t>
      </w:r>
      <w:r w:rsidR="004A33B4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за овај квартал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>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5C0B" w:rsidRDefault="000A5C0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физичким лицима по основу осталих уговора остварени су 15,82%, 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остварени су 17,47%,  путни трошкови запослених остварени су 21,58%, дневнице за службено путовање остварени су 13,77%, накнаде трошкова на службеном путу остварени су 35,28%, помоћ радницима остварена је 12,33%, а све у односу на планирано на годишњем нивоу. Сви ови трошкови, осим накнада трошкова на службеном путу , су  и у границама планираних за овај квартал.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Pr="002F7FA5" w:rsidRDefault="004C168B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овом </w:t>
      </w:r>
      <w:r w:rsidR="00836A8E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 је у складу са планираним бројем. 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првог квартала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82, број запослених на одређено време 10. Остварено је  81 запослени  на неодређено време и 10 запослених на одређено време.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4C168B" w:rsidRP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219AD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01.01.2017. до 31.03.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из буџета општине Чајетина примљена су наменска средства за финансирање изградње постројења за пречишћавање отпадних вода 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24.000.000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што је евидентирано  као повећање државног капитала, а у складу са закљученим уговором.</w:t>
      </w: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71D" w:rsidRPr="004C168B" w:rsidRDefault="005E771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E771D">
        <w:rPr>
          <w:rFonts w:ascii="Times New Roman" w:hAnsi="Times New Roman" w:cs="Times New Roman"/>
          <w:sz w:val="24"/>
          <w:szCs w:val="24"/>
          <w:lang w:val="sr-Cyrl-RS"/>
        </w:rPr>
        <w:t>, рекламе и пропаганде.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остварени 27,47% у односу на планиране на годишњем нивоу.</w:t>
      </w:r>
    </w:p>
    <w:p w:rsidR="00F219AD" w:rsidRPr="004C168B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 у већем износу за 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12,43%  у односу на планиране.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014DE2" w:rsidRPr="0062282D" w:rsidRDefault="00F219AD" w:rsidP="00A52A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планирана у овом кварталу, а није извршена , набавка ће се реализовати  у  наредном периоду ове пословне године.</w:t>
      </w:r>
    </w:p>
    <w:p w:rsidR="004D5DB2" w:rsidRPr="004D5DB2" w:rsidRDefault="004D5DB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детаљне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а које утврди да је то потребно, а у циљу да се реализује усвојени програ пословања за 2017. годину.</w:t>
      </w:r>
    </w:p>
    <w:p w:rsidR="002A0A4E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A0A4E" w:rsidRPr="002F7FA5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92647">
        <w:rPr>
          <w:rFonts w:ascii="Times New Roman" w:hAnsi="Times New Roman" w:cs="Times New Roman"/>
          <w:sz w:val="24"/>
          <w:szCs w:val="24"/>
          <w:lang w:val="sr-Cyrl-RS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700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BA617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8E" w:rsidRDefault="00974B8E" w:rsidP="00F4195D">
      <w:pPr>
        <w:spacing w:after="0" w:line="240" w:lineRule="auto"/>
      </w:pPr>
      <w:r>
        <w:separator/>
      </w:r>
    </w:p>
  </w:endnote>
  <w:endnote w:type="continuationSeparator" w:id="0">
    <w:p w:rsidR="00974B8E" w:rsidRDefault="00974B8E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647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8E" w:rsidRDefault="00974B8E" w:rsidP="00F4195D">
      <w:pPr>
        <w:spacing w:after="0" w:line="240" w:lineRule="auto"/>
      </w:pPr>
      <w:r>
        <w:separator/>
      </w:r>
    </w:p>
  </w:footnote>
  <w:footnote w:type="continuationSeparator" w:id="0">
    <w:p w:rsidR="00974B8E" w:rsidRDefault="00974B8E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4DE2"/>
    <w:rsid w:val="000312A6"/>
    <w:rsid w:val="0005131A"/>
    <w:rsid w:val="000A5C0B"/>
    <w:rsid w:val="000B2857"/>
    <w:rsid w:val="000D0FEA"/>
    <w:rsid w:val="000F7BD8"/>
    <w:rsid w:val="001036C7"/>
    <w:rsid w:val="001066C3"/>
    <w:rsid w:val="00111985"/>
    <w:rsid w:val="00114939"/>
    <w:rsid w:val="00120657"/>
    <w:rsid w:val="00136478"/>
    <w:rsid w:val="001437C2"/>
    <w:rsid w:val="00160D96"/>
    <w:rsid w:val="00160DD7"/>
    <w:rsid w:val="00170EC6"/>
    <w:rsid w:val="00171C4D"/>
    <w:rsid w:val="00185E25"/>
    <w:rsid w:val="001A63B0"/>
    <w:rsid w:val="001B18AD"/>
    <w:rsid w:val="001B7B3F"/>
    <w:rsid w:val="001C1635"/>
    <w:rsid w:val="001D3591"/>
    <w:rsid w:val="001F3CDA"/>
    <w:rsid w:val="002136AC"/>
    <w:rsid w:val="00227B25"/>
    <w:rsid w:val="00257CA6"/>
    <w:rsid w:val="00292647"/>
    <w:rsid w:val="0029494D"/>
    <w:rsid w:val="002A0A4E"/>
    <w:rsid w:val="002A2DEC"/>
    <w:rsid w:val="002A55CB"/>
    <w:rsid w:val="002D700E"/>
    <w:rsid w:val="002F2A7F"/>
    <w:rsid w:val="002F7FA5"/>
    <w:rsid w:val="00323EDB"/>
    <w:rsid w:val="00332795"/>
    <w:rsid w:val="0034694D"/>
    <w:rsid w:val="0037516B"/>
    <w:rsid w:val="00381955"/>
    <w:rsid w:val="003A2E7D"/>
    <w:rsid w:val="00416688"/>
    <w:rsid w:val="00420EB8"/>
    <w:rsid w:val="004444CC"/>
    <w:rsid w:val="004870AF"/>
    <w:rsid w:val="00491F93"/>
    <w:rsid w:val="004A33B4"/>
    <w:rsid w:val="004C0D21"/>
    <w:rsid w:val="004C168B"/>
    <w:rsid w:val="004D5DB2"/>
    <w:rsid w:val="00522430"/>
    <w:rsid w:val="00571B8B"/>
    <w:rsid w:val="005948A3"/>
    <w:rsid w:val="005B1FB3"/>
    <w:rsid w:val="005C343B"/>
    <w:rsid w:val="005D39FE"/>
    <w:rsid w:val="005D635E"/>
    <w:rsid w:val="005E562F"/>
    <w:rsid w:val="005E771D"/>
    <w:rsid w:val="00610E76"/>
    <w:rsid w:val="0062282D"/>
    <w:rsid w:val="00625351"/>
    <w:rsid w:val="00626275"/>
    <w:rsid w:val="00654612"/>
    <w:rsid w:val="0066227A"/>
    <w:rsid w:val="00685DC3"/>
    <w:rsid w:val="006868F4"/>
    <w:rsid w:val="006878C1"/>
    <w:rsid w:val="006A1A60"/>
    <w:rsid w:val="006A1DCF"/>
    <w:rsid w:val="006C33C7"/>
    <w:rsid w:val="006D3A01"/>
    <w:rsid w:val="006D5C5D"/>
    <w:rsid w:val="006E7C62"/>
    <w:rsid w:val="0073345A"/>
    <w:rsid w:val="0074558D"/>
    <w:rsid w:val="0075026A"/>
    <w:rsid w:val="00766A62"/>
    <w:rsid w:val="007B5C7D"/>
    <w:rsid w:val="007E0D26"/>
    <w:rsid w:val="007F5C0E"/>
    <w:rsid w:val="00804055"/>
    <w:rsid w:val="008071B2"/>
    <w:rsid w:val="00835B19"/>
    <w:rsid w:val="00836A8E"/>
    <w:rsid w:val="00855DA4"/>
    <w:rsid w:val="008C6581"/>
    <w:rsid w:val="008D1399"/>
    <w:rsid w:val="008D4EFF"/>
    <w:rsid w:val="008D614E"/>
    <w:rsid w:val="008E481C"/>
    <w:rsid w:val="0090378E"/>
    <w:rsid w:val="0091310B"/>
    <w:rsid w:val="00936500"/>
    <w:rsid w:val="009426CC"/>
    <w:rsid w:val="00952BA5"/>
    <w:rsid w:val="00955F77"/>
    <w:rsid w:val="00962A5A"/>
    <w:rsid w:val="00974B8E"/>
    <w:rsid w:val="009853FD"/>
    <w:rsid w:val="009A2352"/>
    <w:rsid w:val="009A4E25"/>
    <w:rsid w:val="009B22ED"/>
    <w:rsid w:val="009D24C6"/>
    <w:rsid w:val="00A270E7"/>
    <w:rsid w:val="00A3425F"/>
    <w:rsid w:val="00A34D76"/>
    <w:rsid w:val="00A42960"/>
    <w:rsid w:val="00A52A1D"/>
    <w:rsid w:val="00A77995"/>
    <w:rsid w:val="00A92D68"/>
    <w:rsid w:val="00AA2383"/>
    <w:rsid w:val="00AB3BA8"/>
    <w:rsid w:val="00AB6875"/>
    <w:rsid w:val="00B10518"/>
    <w:rsid w:val="00B418C9"/>
    <w:rsid w:val="00B44B77"/>
    <w:rsid w:val="00B53AED"/>
    <w:rsid w:val="00BA0772"/>
    <w:rsid w:val="00BA617A"/>
    <w:rsid w:val="00BD77D1"/>
    <w:rsid w:val="00BF085C"/>
    <w:rsid w:val="00C16FB8"/>
    <w:rsid w:val="00C40F5B"/>
    <w:rsid w:val="00C46EE8"/>
    <w:rsid w:val="00C51C2F"/>
    <w:rsid w:val="00CA7E7B"/>
    <w:rsid w:val="00CB3ACF"/>
    <w:rsid w:val="00CC0ADC"/>
    <w:rsid w:val="00CC5EB3"/>
    <w:rsid w:val="00CE280D"/>
    <w:rsid w:val="00D27537"/>
    <w:rsid w:val="00D52BFA"/>
    <w:rsid w:val="00D55834"/>
    <w:rsid w:val="00D87F06"/>
    <w:rsid w:val="00D91A2E"/>
    <w:rsid w:val="00DA5C39"/>
    <w:rsid w:val="00DC3747"/>
    <w:rsid w:val="00DD473D"/>
    <w:rsid w:val="00DE0916"/>
    <w:rsid w:val="00DF6994"/>
    <w:rsid w:val="00E203DD"/>
    <w:rsid w:val="00E25524"/>
    <w:rsid w:val="00E65055"/>
    <w:rsid w:val="00E9153B"/>
    <w:rsid w:val="00E93BD5"/>
    <w:rsid w:val="00EA2F44"/>
    <w:rsid w:val="00EB2DBB"/>
    <w:rsid w:val="00EC1858"/>
    <w:rsid w:val="00EE1525"/>
    <w:rsid w:val="00EE49BB"/>
    <w:rsid w:val="00EF53C7"/>
    <w:rsid w:val="00EF674F"/>
    <w:rsid w:val="00F13910"/>
    <w:rsid w:val="00F15D57"/>
    <w:rsid w:val="00F2160F"/>
    <w:rsid w:val="00F219AD"/>
    <w:rsid w:val="00F36E97"/>
    <w:rsid w:val="00F4195D"/>
    <w:rsid w:val="00F4580E"/>
    <w:rsid w:val="00F47D8A"/>
    <w:rsid w:val="00FE145D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BF99-F6EF-417C-B219-93B29C1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12</cp:revision>
  <cp:lastPrinted>2016-04-27T07:32:00Z</cp:lastPrinted>
  <dcterms:created xsi:type="dcterms:W3CDTF">2017-04-19T10:58:00Z</dcterms:created>
  <dcterms:modified xsi:type="dcterms:W3CDTF">2017-04-26T06:46:00Z</dcterms:modified>
</cp:coreProperties>
</file>